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69D27">
      <w:pPr>
        <w:widowControl w:val="0"/>
        <w:kinsoku/>
        <w:autoSpaceDE/>
        <w:autoSpaceDN/>
        <w:adjustRightInd/>
        <w:snapToGrid/>
        <w:spacing w:line="360" w:lineRule="auto"/>
        <w:ind w:firstLine="420" w:firstLineChars="200"/>
        <w:jc w:val="center"/>
        <w:textAlignment w:val="auto"/>
        <w:rPr>
          <w:rFonts w:ascii="Times New Roman" w:hAnsi="Times New Roman" w:eastAsia="宋体" w:cs="Calibri"/>
          <w:snapToGrid/>
          <w:kern w:val="2"/>
        </w:rPr>
      </w:pPr>
      <w:r>
        <w:rPr>
          <w:rFonts w:hint="eastAsia" w:ascii="Times New Roman" w:hAnsi="Times New Roman" w:eastAsia="宋体" w:cs="Calibri"/>
          <w:snapToGrid/>
          <w:kern w:val="2"/>
          <w:lang w:val="en-US" w:eastAsia="zh-CN"/>
        </w:rPr>
        <w:t xml:space="preserve">                                        </w:t>
      </w:r>
      <w:r>
        <w:rPr>
          <w:rFonts w:hint="eastAsia" w:ascii="Times New Roman" w:hAnsi="Times New Roman" w:eastAsia="宋体" w:cs="Calibri"/>
          <w:snapToGrid/>
          <w:kern w:val="2"/>
        </w:rPr>
        <w:t xml:space="preserve"> 甲方合同编号：</w:t>
      </w:r>
      <w:r>
        <w:rPr>
          <w:rFonts w:hint="eastAsia" w:ascii="ˎ̥" w:hAnsi="ˎ̥" w:eastAsia="宋体" w:cs="Calibri"/>
          <w:snapToGrid/>
          <w:kern w:val="2"/>
          <w:sz w:val="18"/>
          <w:szCs w:val="18"/>
        </w:rPr>
        <w:t xml:space="preserve">  </w:t>
      </w:r>
    </w:p>
    <w:p w14:paraId="2B62C079">
      <w:pPr>
        <w:widowControl w:val="0"/>
        <w:kinsoku/>
        <w:autoSpaceDE/>
        <w:autoSpaceDN/>
        <w:adjustRightInd w:val="0"/>
        <w:snapToGrid w:val="0"/>
        <w:spacing w:line="360" w:lineRule="auto"/>
        <w:ind w:right="-153" w:rightChars="-73" w:firstLine="0" w:firstLineChars="0"/>
        <w:jc w:val="both"/>
        <w:textAlignment w:val="auto"/>
        <w:rPr>
          <w:rFonts w:hint="default" w:ascii="宋体" w:hAnsi="宋体" w:eastAsia="宋体" w:cs="宋体"/>
          <w:sz w:val="36"/>
          <w:szCs w:val="36"/>
          <w:lang w:val="en-US" w:eastAsia="zh-CN"/>
        </w:rPr>
      </w:pPr>
      <w:r>
        <w:rPr>
          <w:rFonts w:hint="eastAsia" w:ascii="Times New Roman" w:hAnsi="Times New Roman" w:eastAsia="宋体" w:cs="Calibri"/>
          <w:snapToGrid/>
          <w:kern w:val="2"/>
        </w:rPr>
        <w:t xml:space="preserve">                                                       乙方合同编号</w:t>
      </w:r>
      <w:r>
        <w:rPr>
          <w:rFonts w:hint="eastAsia" w:ascii="宋体" w:hAnsi="宋体" w:eastAsia="宋体" w:cs="Calibri"/>
          <w:snapToGrid/>
          <w:kern w:val="2"/>
        </w:rPr>
        <w:t>：</w:t>
      </w:r>
    </w:p>
    <w:p w14:paraId="6D955190">
      <w:pPr>
        <w:pStyle w:val="2"/>
        <w:pageBreakBefore w:val="0"/>
        <w:kinsoku/>
        <w:wordWrap/>
        <w:overflowPunct/>
        <w:topLinePunct w:val="0"/>
        <w:autoSpaceDE/>
        <w:autoSpaceDN/>
        <w:bidi w:val="0"/>
        <w:adjustRightInd/>
        <w:snapToGrid/>
        <w:spacing w:before="0" w:after="0" w:line="192" w:lineRule="auto"/>
        <w:jc w:val="center"/>
        <w:rPr>
          <w:rFonts w:ascii="宋体" w:hAnsi="宋体" w:eastAsia="宋体" w:cs="宋体"/>
          <w:sz w:val="36"/>
          <w:szCs w:val="36"/>
        </w:rPr>
      </w:pPr>
      <w:r>
        <w:rPr>
          <w:rFonts w:hint="eastAsia" w:ascii="宋体" w:hAnsi="宋体" w:eastAsia="宋体" w:cs="宋体"/>
          <w:sz w:val="36"/>
          <w:szCs w:val="36"/>
          <w:lang w:val="en-US" w:eastAsia="zh-CN"/>
        </w:rPr>
        <w:t>企业</w:t>
      </w:r>
      <w:r>
        <w:rPr>
          <w:rFonts w:hint="eastAsia" w:ascii="宋体" w:hAnsi="宋体" w:eastAsia="宋体" w:cs="宋体"/>
          <w:sz w:val="36"/>
          <w:szCs w:val="36"/>
        </w:rPr>
        <w:t>宽带</w:t>
      </w:r>
      <w:r>
        <w:rPr>
          <w:rFonts w:hint="eastAsia" w:ascii="宋体" w:hAnsi="宋体" w:eastAsia="宋体" w:cs="宋体"/>
          <w:sz w:val="36"/>
          <w:szCs w:val="36"/>
          <w:lang w:val="en-US" w:eastAsia="zh-CN"/>
        </w:rPr>
        <w:t>业务</w:t>
      </w:r>
      <w:r>
        <w:rPr>
          <w:rFonts w:hint="eastAsia" w:ascii="宋体" w:hAnsi="宋体" w:eastAsia="宋体" w:cs="宋体"/>
          <w:sz w:val="36"/>
          <w:szCs w:val="36"/>
        </w:rPr>
        <w:t>服务协议</w:t>
      </w:r>
    </w:p>
    <w:p w14:paraId="1E9AD94E">
      <w:pPr>
        <w:pageBreakBefore w:val="0"/>
        <w:kinsoku w:val="0"/>
        <w:wordWrap/>
        <w:overflowPunct/>
        <w:topLinePunct w:val="0"/>
        <w:autoSpaceDE w:val="0"/>
        <w:autoSpaceDN w:val="0"/>
        <w:bidi w:val="0"/>
        <w:adjustRightInd w:val="0"/>
        <w:snapToGrid w:val="0"/>
        <w:spacing w:before="167" w:line="282" w:lineRule="atLeast"/>
        <w:ind w:left="2" w:firstLine="389" w:firstLineChars="200"/>
        <w:jc w:val="both"/>
        <w:rPr>
          <w:rFonts w:ascii="宋体" w:hAnsi="宋体" w:eastAsia="宋体" w:cs="宋体"/>
          <w:spacing w:val="2"/>
          <w:sz w:val="18"/>
          <w:szCs w:val="18"/>
        </w:rPr>
      </w:pPr>
      <w:r>
        <w:rPr>
          <w:rFonts w:ascii="宋体" w:hAnsi="宋体" w:eastAsia="宋体" w:cs="宋体"/>
          <w:b/>
          <w:bCs/>
          <w:spacing w:val="7"/>
          <w:sz w:val="18"/>
          <w:szCs w:val="18"/>
        </w:rPr>
        <w:t>甲</w:t>
      </w:r>
      <w:r>
        <w:rPr>
          <w:rFonts w:hint="eastAsia" w:ascii="宋体" w:hAnsi="宋体" w:eastAsia="宋体" w:cs="宋体"/>
          <w:b/>
          <w:bCs/>
          <w:spacing w:val="7"/>
          <w:sz w:val="18"/>
          <w:szCs w:val="18"/>
        </w:rPr>
        <w:t xml:space="preserve"> </w:t>
      </w:r>
      <w:r>
        <w:rPr>
          <w:rFonts w:ascii="宋体" w:hAnsi="宋体" w:eastAsia="宋体" w:cs="宋体"/>
          <w:b/>
          <w:bCs/>
          <w:spacing w:val="7"/>
          <w:sz w:val="18"/>
          <w:szCs w:val="18"/>
        </w:rPr>
        <w:t>方</w:t>
      </w:r>
      <w:r>
        <w:rPr>
          <w:rFonts w:ascii="宋体" w:hAnsi="宋体" w:eastAsia="宋体" w:cs="宋体"/>
          <w:spacing w:val="-5"/>
          <w:sz w:val="18"/>
          <w:szCs w:val="18"/>
        </w:rPr>
        <w:t xml:space="preserve"> </w:t>
      </w:r>
      <w:r>
        <w:rPr>
          <w:rFonts w:ascii="宋体" w:hAnsi="宋体" w:eastAsia="宋体" w:cs="宋体"/>
          <w:b/>
          <w:bCs/>
          <w:spacing w:val="7"/>
          <w:sz w:val="18"/>
          <w:szCs w:val="18"/>
        </w:rPr>
        <w:t>：</w:t>
      </w:r>
      <w:r>
        <w:rPr>
          <w:rFonts w:hint="eastAsia" w:ascii="宋体" w:hAnsi="宋体" w:eastAsia="宋体" w:cs="宋体"/>
          <w:spacing w:val="2"/>
          <w:sz w:val="18"/>
          <w:szCs w:val="18"/>
        </w:rPr>
        <w:t xml:space="preserve"> 广州回力鞋业销售有限公司</w:t>
      </w:r>
    </w:p>
    <w:p w14:paraId="2FF02FAA">
      <w:pPr>
        <w:pageBreakBefore w:val="0"/>
        <w:kinsoku w:val="0"/>
        <w:wordWrap/>
        <w:overflowPunct/>
        <w:topLinePunct w:val="0"/>
        <w:autoSpaceDE w:val="0"/>
        <w:autoSpaceDN w:val="0"/>
        <w:bidi w:val="0"/>
        <w:adjustRightInd w:val="0"/>
        <w:snapToGrid w:val="0"/>
        <w:spacing w:before="167" w:line="282" w:lineRule="atLeast"/>
        <w:ind w:left="2"/>
        <w:jc w:val="both"/>
        <w:rPr>
          <w:rFonts w:ascii="宋体" w:hAnsi="宋体" w:eastAsia="宋体" w:cs="宋体"/>
          <w:sz w:val="17"/>
          <w:szCs w:val="17"/>
        </w:rPr>
      </w:pPr>
      <w:r>
        <w:rPr>
          <w:rFonts w:hint="eastAsia" w:ascii="宋体" w:hAnsi="宋体" w:eastAsia="宋体" w:cs="宋体"/>
          <w:spacing w:val="2"/>
          <w:sz w:val="18"/>
          <w:szCs w:val="18"/>
        </w:rPr>
        <w:t xml:space="preserve">    </w:t>
      </w:r>
      <w:r>
        <w:rPr>
          <w:rFonts w:ascii="宋体" w:hAnsi="宋体" w:eastAsia="宋体" w:cs="宋体"/>
          <w:b/>
          <w:bCs/>
          <w:spacing w:val="7"/>
          <w:sz w:val="18"/>
          <w:szCs w:val="18"/>
        </w:rPr>
        <w:t>乙</w:t>
      </w:r>
      <w:r>
        <w:rPr>
          <w:rFonts w:hint="eastAsia" w:ascii="宋体" w:hAnsi="宋体" w:eastAsia="宋体" w:cs="宋体"/>
          <w:b/>
          <w:bCs/>
          <w:spacing w:val="7"/>
          <w:sz w:val="18"/>
          <w:szCs w:val="18"/>
        </w:rPr>
        <w:t xml:space="preserve"> </w:t>
      </w:r>
      <w:r>
        <w:rPr>
          <w:rFonts w:ascii="宋体" w:hAnsi="宋体" w:eastAsia="宋体" w:cs="宋体"/>
          <w:b/>
          <w:bCs/>
          <w:spacing w:val="7"/>
          <w:sz w:val="18"/>
          <w:szCs w:val="18"/>
        </w:rPr>
        <w:t>方：</w:t>
      </w:r>
      <w:r>
        <w:rPr>
          <w:rFonts w:hint="eastAsia" w:ascii="宋体" w:hAnsi="宋体" w:eastAsia="宋体" w:cs="宋体"/>
          <w:b/>
          <w:bCs/>
          <w:spacing w:val="7"/>
          <w:sz w:val="18"/>
          <w:szCs w:val="18"/>
        </w:rPr>
        <w:t>浙江翼扬网络科技有限公司</w:t>
      </w:r>
    </w:p>
    <w:p w14:paraId="7FC9BF8B">
      <w:pPr>
        <w:pStyle w:val="5"/>
        <w:pageBreakBefore w:val="0"/>
        <w:kinsoku w:val="0"/>
        <w:wordWrap/>
        <w:overflowPunct/>
        <w:topLinePunct w:val="0"/>
        <w:autoSpaceDE w:val="0"/>
        <w:autoSpaceDN w:val="0"/>
        <w:bidi w:val="0"/>
        <w:adjustRightInd w:val="0"/>
        <w:snapToGrid w:val="0"/>
        <w:spacing w:line="282" w:lineRule="atLeast"/>
        <w:ind w:firstLine="380" w:firstLineChars="200"/>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甲乙双方本着公平合理、互惠互利的原则，经友好协商签订本协议，具体内容如下：</w:t>
      </w:r>
    </w:p>
    <w:p w14:paraId="1C2A0FE7">
      <w:pPr>
        <w:pageBreakBefore w:val="0"/>
        <w:kinsoku w:val="0"/>
        <w:wordWrap/>
        <w:overflowPunct/>
        <w:topLinePunct w:val="0"/>
        <w:autoSpaceDE w:val="0"/>
        <w:autoSpaceDN w:val="0"/>
        <w:bidi w:val="0"/>
        <w:adjustRightInd w:val="0"/>
        <w:snapToGrid w:val="0"/>
        <w:spacing w:before="121" w:line="282" w:lineRule="atLeast"/>
        <w:rPr>
          <w:rFonts w:hint="eastAsia" w:ascii="宋体" w:hAnsi="宋体" w:eastAsia="宋体" w:cs="宋体"/>
          <w:b/>
          <w:bCs/>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bCs/>
          <w:snapToGrid/>
          <w:color w:val="000000"/>
          <w:spacing w:val="0"/>
          <w:w w:val="100"/>
          <w:position w:val="0"/>
          <w:sz w:val="19"/>
          <w:szCs w:val="19"/>
          <w:highlight w:val="none"/>
          <w:u w:val="none"/>
          <w:shd w:val="clear" w:color="auto" w:fill="auto"/>
          <w:lang w:val="en-US" w:eastAsia="zh-CN" w:bidi="zh-TW"/>
        </w:rPr>
        <w:t>第一条合作内容</w:t>
      </w:r>
    </w:p>
    <w:p w14:paraId="116E1BE9">
      <w:pPr>
        <w:pageBreakBefore w:val="0"/>
        <w:kinsoku w:val="0"/>
        <w:wordWrap/>
        <w:overflowPunct/>
        <w:topLinePunct w:val="0"/>
        <w:autoSpaceDE w:val="0"/>
        <w:autoSpaceDN w:val="0"/>
        <w:bidi w:val="0"/>
        <w:adjustRightInd w:val="0"/>
        <w:snapToGrid w:val="0"/>
        <w:spacing w:before="121" w:line="282" w:lineRule="atLeast"/>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en-US" w:bidi="zh-TW"/>
        </w:rPr>
        <w:t>1.</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1甲方使用乙方提供的企业宽带业务。</w:t>
      </w:r>
      <w:bookmarkStart w:id="0" w:name="bookmark3"/>
      <w:bookmarkEnd w:id="0"/>
    </w:p>
    <w:p w14:paraId="4EFE1E10">
      <w:pPr>
        <w:pageBreakBefore w:val="0"/>
        <w:kinsoku w:val="0"/>
        <w:wordWrap/>
        <w:overflowPunct/>
        <w:topLinePunct w:val="0"/>
        <w:autoSpaceDE w:val="0"/>
        <w:autoSpaceDN w:val="0"/>
        <w:bidi w:val="0"/>
        <w:adjustRightInd w:val="0"/>
        <w:snapToGrid w:val="0"/>
        <w:spacing w:before="121" w:line="282" w:lineRule="atLeast"/>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1.2甲方其他需求同等条件下优先考虑使用乙方业务。</w:t>
      </w:r>
    </w:p>
    <w:p w14:paraId="30ACF265">
      <w:pPr>
        <w:pStyle w:val="5"/>
        <w:pageBreakBefore w:val="0"/>
        <w:kinsoku w:val="0"/>
        <w:wordWrap/>
        <w:overflowPunct/>
        <w:topLinePunct w:val="0"/>
        <w:autoSpaceDE w:val="0"/>
        <w:autoSpaceDN w:val="0"/>
        <w:bidi w:val="0"/>
        <w:adjustRightInd w:val="0"/>
        <w:snapToGrid w:val="0"/>
        <w:spacing w:line="282" w:lineRule="atLeast"/>
        <w:rPr>
          <w:rFonts w:ascii="宋体" w:hAnsi="宋体" w:eastAsia="宋体" w:cs="宋体"/>
          <w:b/>
          <w:bCs/>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bCs/>
          <w:snapToGrid/>
          <w:color w:val="000000"/>
          <w:spacing w:val="0"/>
          <w:w w:val="100"/>
          <w:position w:val="0"/>
          <w:sz w:val="19"/>
          <w:szCs w:val="19"/>
          <w:highlight w:val="none"/>
          <w:u w:val="none"/>
          <w:shd w:val="clear" w:color="auto" w:fill="auto"/>
          <w:lang w:val="zh-TW" w:eastAsia="zh-TW" w:bidi="zh-TW"/>
        </w:rPr>
        <w:t>第</w:t>
      </w:r>
      <w:r>
        <w:rPr>
          <w:rFonts w:hint="eastAsia" w:ascii="宋体" w:hAnsi="宋体" w:eastAsia="宋体" w:cs="宋体"/>
          <w:b/>
          <w:bCs/>
          <w:snapToGrid/>
          <w:color w:val="000000"/>
          <w:spacing w:val="0"/>
          <w:w w:val="100"/>
          <w:position w:val="0"/>
          <w:sz w:val="19"/>
          <w:szCs w:val="19"/>
          <w:highlight w:val="none"/>
          <w:u w:val="none"/>
          <w:shd w:val="clear" w:color="auto" w:fill="auto"/>
          <w:lang w:val="en-US" w:eastAsia="zh-CN" w:bidi="zh-TW"/>
        </w:rPr>
        <w:t>二</w:t>
      </w:r>
      <w:r>
        <w:rPr>
          <w:rFonts w:hint="eastAsia" w:ascii="宋体" w:hAnsi="宋体" w:eastAsia="宋体" w:cs="宋体"/>
          <w:b/>
          <w:bCs/>
          <w:snapToGrid/>
          <w:color w:val="000000"/>
          <w:spacing w:val="0"/>
          <w:w w:val="100"/>
          <w:position w:val="0"/>
          <w:sz w:val="19"/>
          <w:szCs w:val="19"/>
          <w:highlight w:val="none"/>
          <w:u w:val="none"/>
          <w:shd w:val="clear" w:color="auto" w:fill="auto"/>
          <w:lang w:val="zh-TW" w:eastAsia="zh-TW" w:bidi="zh-TW"/>
        </w:rPr>
        <w:t>条 甲方的权利和义务</w:t>
      </w:r>
    </w:p>
    <w:p w14:paraId="1B4E6FC1">
      <w:pPr>
        <w:pageBreakBefore w:val="0"/>
        <w:kinsoku w:val="0"/>
        <w:wordWrap/>
        <w:overflowPunct/>
        <w:topLinePunct w:val="0"/>
        <w:autoSpaceDE w:val="0"/>
        <w:autoSpaceDN w:val="0"/>
        <w:bidi w:val="0"/>
        <w:adjustRightInd w:val="0"/>
        <w:snapToGrid w:val="0"/>
        <w:spacing w:before="121" w:line="282" w:lineRule="atLeast"/>
        <w:rPr>
          <w:rFonts w:hint="eastAsia" w:ascii="宋体" w:hAnsi="宋体" w:eastAsia="宋体" w:cs="宋体"/>
          <w:b w:val="0"/>
          <w:snapToGrid/>
          <w:color w:val="000000"/>
          <w:spacing w:val="0"/>
          <w:w w:val="100"/>
          <w:position w:val="0"/>
          <w:sz w:val="19"/>
          <w:szCs w:val="19"/>
          <w:highlight w:val="none"/>
          <w:u w:val="none"/>
          <w:shd w:val="clear" w:color="auto" w:fill="auto"/>
          <w:lang w:val="en-US"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2</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.1</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 甲方有权享受本协议约定的通信服务并在乙方提供的宽带业务中选择自己所需要的服务，依照国家主管部门有关资费标准以及双方达成的协议，在乙方规定的时间内向乙方及时缴纳相关通信服务的费用。</w:t>
      </w:r>
    </w:p>
    <w:p w14:paraId="5492C3A3">
      <w:pPr>
        <w:pageBreakBefore w:val="0"/>
        <w:kinsoku w:val="0"/>
        <w:wordWrap/>
        <w:overflowPunct/>
        <w:topLinePunct w:val="0"/>
        <w:autoSpaceDE w:val="0"/>
        <w:autoSpaceDN w:val="0"/>
        <w:bidi w:val="0"/>
        <w:adjustRightInd w:val="0"/>
        <w:snapToGrid w:val="0"/>
        <w:spacing w:before="121" w:line="282" w:lineRule="atLeast"/>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2</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2</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 xml:space="preserve"> 甲方应为乙方接入线路及设备提供安全保障，并为乙方进行线路接入及设备维护提供必要的协助和配合。甲方应保证</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宽带</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接入地点物业全面配合乙方工程实施、安装和调测等工作。如因甲方未做好上述入网前的准备工作，导致乙方被要求支付额外费用的，该等费用应由甲方承担。对于因甲方原因造成的接入或维护延迟，乙方不承担责任。</w:t>
      </w:r>
    </w:p>
    <w:p w14:paraId="43AAAF6B">
      <w:pPr>
        <w:pageBreakBefore w:val="0"/>
        <w:kinsoku w:val="0"/>
        <w:wordWrap/>
        <w:overflowPunct/>
        <w:topLinePunct w:val="0"/>
        <w:autoSpaceDE w:val="0"/>
        <w:autoSpaceDN w:val="0"/>
        <w:bidi w:val="0"/>
        <w:adjustRightInd w:val="0"/>
        <w:snapToGrid w:val="0"/>
        <w:spacing w:before="121" w:line="282" w:lineRule="atLeast"/>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2.3</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 xml:space="preserve"> 甲方应向乙方书面提供</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宽带业务</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开通的准确</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的宽带使用需求</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宽带接入地址、可施工时间、</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联系人、联系电话等信息。如甲方提供以上信息有误，相应的责任和后果由甲方承担。如因甲方提供的</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互联网</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接入地点错误导致工期延误的，开通时间应相应地顺延；因此造成乙方损失的，甲方应予以赔偿。</w:t>
      </w:r>
    </w:p>
    <w:p w14:paraId="45555FC1">
      <w:pPr>
        <w:pageBreakBefore w:val="0"/>
        <w:kinsoku w:val="0"/>
        <w:wordWrap/>
        <w:overflowPunct/>
        <w:topLinePunct w:val="0"/>
        <w:autoSpaceDE w:val="0"/>
        <w:autoSpaceDN w:val="0"/>
        <w:bidi w:val="0"/>
        <w:adjustRightInd w:val="0"/>
        <w:snapToGrid w:val="0"/>
        <w:spacing w:before="121" w:line="282" w:lineRule="atLeast"/>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2.4 甲方向乙方申请开通宽带接入服务，需办理相关业务登记手续。甲方办理登记手续时，需依照国家有关规定向乙方出示有效身份证件原件，提供真实身份信息。甲方委托他人办理登记手续的，受托人应当出示本人及甲方的有效身份证件原件，并提供甲方和本人的真实身份信息及甲方出具给受托人的有效授权委托书原件。甲方</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对填写的</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入网申请</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资料的正确性、完整性承担法律责任</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CN" w:bidi="zh-TW"/>
        </w:rPr>
        <w:t>。</w:t>
      </w:r>
    </w:p>
    <w:p w14:paraId="61F0BBD1">
      <w:pPr>
        <w:pageBreakBefore w:val="0"/>
        <w:kinsoku w:val="0"/>
        <w:wordWrap/>
        <w:overflowPunct/>
        <w:topLinePunct w:val="0"/>
        <w:autoSpaceDE w:val="0"/>
        <w:autoSpaceDN w:val="0"/>
        <w:bidi w:val="0"/>
        <w:adjustRightInd w:val="0"/>
        <w:snapToGrid w:val="0"/>
        <w:spacing w:before="160" w:line="282" w:lineRule="atLeast"/>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2.5 甲方应派专人负责做好本方入网的各项准备工作，包括但不限于入网前的组织协调工作，强电等配套设施的准备，</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遵守乙方所规定的网络运行环境各项指标要求</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CN"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甲方应当确保装机地址的管线畅通，在安装过程中如需要穿墙打洞、布放明线的，甲方予以认可并承诺协助协调物业。如乙方安装人员在甲方指定并确认的</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位置</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打洞后，若出现任何非乙方原因而产生的损失(如水管、强电、弱电线路穿破等)，乙方不承担任何责任。</w:t>
      </w:r>
    </w:p>
    <w:p w14:paraId="6C086C03">
      <w:pPr>
        <w:pageBreakBefore w:val="0"/>
        <w:kinsoku w:val="0"/>
        <w:wordWrap/>
        <w:overflowPunct/>
        <w:topLinePunct w:val="0"/>
        <w:autoSpaceDE w:val="0"/>
        <w:autoSpaceDN w:val="0"/>
        <w:bidi w:val="0"/>
        <w:adjustRightInd w:val="0"/>
        <w:snapToGrid w:val="0"/>
        <w:spacing w:before="160" w:line="282" w:lineRule="atLeast"/>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2.6 甲方有义务确保乙方设置于甲方的通信设备及相关设施不受人为损害，若相关接入设备丢失、损毁。需按乙方设备赔付标准赔付：网络终端设备200元</w:t>
      </w:r>
      <w:r>
        <w:rPr>
          <w:rFonts w:hint="default" w:ascii="宋体" w:hAnsi="宋体" w:eastAsia="宋体" w:cs="宋体"/>
          <w:b w:val="0"/>
          <w:snapToGrid/>
          <w:color w:val="000000"/>
          <w:spacing w:val="0"/>
          <w:w w:val="100"/>
          <w:position w:val="0"/>
          <w:sz w:val="19"/>
          <w:szCs w:val="19"/>
          <w:highlight w:val="none"/>
          <w:u w:val="none"/>
          <w:shd w:val="clear" w:color="auto" w:fill="auto"/>
          <w:lang w:val="en-US" w:eastAsia="zh-CN"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台。</w:t>
      </w:r>
    </w:p>
    <w:p w14:paraId="23C44AC6">
      <w:pPr>
        <w:pageBreakBefore w:val="0"/>
        <w:kinsoku w:val="0"/>
        <w:wordWrap/>
        <w:overflowPunct/>
        <w:topLinePunct w:val="0"/>
        <w:autoSpaceDE w:val="0"/>
        <w:autoSpaceDN w:val="0"/>
        <w:bidi w:val="0"/>
        <w:adjustRightInd w:val="0"/>
        <w:snapToGrid w:val="0"/>
        <w:spacing w:before="160" w:line="282" w:lineRule="atLeast"/>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2.7 </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甲方可自带或向乙方购买乙方指定的与有线宽带业务适配的终端设备，甲方通过自带的终端设备使用业务时，因为该终端设备引起的通信受阻、产生其他费用等</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情况</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由甲方自行承担。</w:t>
      </w:r>
    </w:p>
    <w:p w14:paraId="7725031F">
      <w:pPr>
        <w:pageBreakBefore w:val="0"/>
        <w:kinsoku w:val="0"/>
        <w:wordWrap/>
        <w:overflowPunct/>
        <w:topLinePunct w:val="0"/>
        <w:autoSpaceDE w:val="0"/>
        <w:autoSpaceDN w:val="0"/>
        <w:bidi w:val="0"/>
        <w:adjustRightInd w:val="0"/>
        <w:snapToGrid w:val="0"/>
        <w:spacing w:before="121" w:line="282" w:lineRule="atLeast"/>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2.8 </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甲方机房</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至</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甲方信息点通信线路、交换机、路由器、电脑等设备，由甲方自行投资、自行维护。</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由于甲方自备设备故障或甲方操作不当造成的网络故障，甲方自行承担责任，乙方可提供技术服务咨询建议。</w:t>
      </w:r>
    </w:p>
    <w:p w14:paraId="2E13A3B4">
      <w:pPr>
        <w:pStyle w:val="5"/>
        <w:pageBreakBefore w:val="0"/>
        <w:kinsoku w:val="0"/>
        <w:wordWrap/>
        <w:overflowPunct/>
        <w:topLinePunct w:val="0"/>
        <w:autoSpaceDE w:val="0"/>
        <w:autoSpaceDN w:val="0"/>
        <w:bidi w:val="0"/>
        <w:adjustRightInd w:val="0"/>
        <w:snapToGrid w:val="0"/>
        <w:spacing w:line="282" w:lineRule="atLeast"/>
        <w:rPr>
          <w:rFonts w:hint="eastAsia" w:ascii="宋体" w:hAnsi="宋体" w:eastAsia="宋体" w:cs="宋体"/>
          <w:b/>
          <w:bCs/>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bCs/>
          <w:snapToGrid/>
          <w:color w:val="000000"/>
          <w:spacing w:val="0"/>
          <w:w w:val="100"/>
          <w:position w:val="0"/>
          <w:sz w:val="19"/>
          <w:szCs w:val="19"/>
          <w:highlight w:val="none"/>
          <w:u w:val="none"/>
          <w:shd w:val="clear" w:color="auto" w:fill="auto"/>
          <w:lang w:val="zh-TW" w:eastAsia="zh-TW" w:bidi="zh-TW"/>
        </w:rPr>
        <w:t>第</w:t>
      </w:r>
      <w:r>
        <w:rPr>
          <w:rFonts w:hint="eastAsia" w:ascii="宋体" w:hAnsi="宋体" w:eastAsia="宋体" w:cs="宋体"/>
          <w:b/>
          <w:bCs/>
          <w:snapToGrid/>
          <w:color w:val="000000"/>
          <w:spacing w:val="0"/>
          <w:w w:val="100"/>
          <w:position w:val="0"/>
          <w:sz w:val="19"/>
          <w:szCs w:val="19"/>
          <w:highlight w:val="none"/>
          <w:u w:val="none"/>
          <w:shd w:val="clear" w:color="auto" w:fill="auto"/>
          <w:lang w:val="en-US" w:eastAsia="zh-CN" w:bidi="zh-TW"/>
        </w:rPr>
        <w:t>三</w:t>
      </w:r>
      <w:r>
        <w:rPr>
          <w:rFonts w:hint="eastAsia" w:ascii="宋体" w:hAnsi="宋体" w:eastAsia="宋体" w:cs="宋体"/>
          <w:b/>
          <w:bCs/>
          <w:snapToGrid/>
          <w:color w:val="000000"/>
          <w:spacing w:val="0"/>
          <w:w w:val="100"/>
          <w:position w:val="0"/>
          <w:sz w:val="19"/>
          <w:szCs w:val="19"/>
          <w:highlight w:val="none"/>
          <w:u w:val="none"/>
          <w:shd w:val="clear" w:color="auto" w:fill="auto"/>
          <w:lang w:val="zh-TW" w:eastAsia="zh-TW" w:bidi="zh-TW"/>
        </w:rPr>
        <w:t>条 乙方的权利和义务</w:t>
      </w:r>
    </w:p>
    <w:p w14:paraId="328E552A">
      <w:pPr>
        <w:pageBreakBefore w:val="0"/>
        <w:kinsoku w:val="0"/>
        <w:wordWrap/>
        <w:overflowPunct/>
        <w:topLinePunct w:val="0"/>
        <w:autoSpaceDE w:val="0"/>
        <w:autoSpaceDN w:val="0"/>
        <w:bidi w:val="0"/>
        <w:adjustRightInd w:val="0"/>
        <w:snapToGrid w:val="0"/>
        <w:spacing w:before="160" w:line="282" w:lineRule="atLeast"/>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3.1 乙方</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在</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宽带覆盖区域</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资源满足情况下，受理甲方</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宽带业务</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申请，</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乙方对于提供的互联网</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接入业务</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应依据相关标准、规程和规范进行维护，甲方应给予必要的协助和配合。</w:t>
      </w:r>
    </w:p>
    <w:p w14:paraId="701F8D79">
      <w:pPr>
        <w:pageBreakBefore w:val="0"/>
        <w:kinsoku w:val="0"/>
        <w:wordWrap/>
        <w:overflowPunct/>
        <w:topLinePunct w:val="0"/>
        <w:autoSpaceDE w:val="0"/>
        <w:autoSpaceDN w:val="0"/>
        <w:bidi w:val="0"/>
        <w:adjustRightInd w:val="0"/>
        <w:snapToGrid w:val="0"/>
        <w:spacing w:before="160" w:line="282" w:lineRule="atLeast"/>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3.2 </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乙方所投资建设的线路及设备产权归乙方所有；乙方投资的设备及线路由乙方负责维护。</w:t>
      </w:r>
    </w:p>
    <w:p w14:paraId="40B46550">
      <w:pPr>
        <w:pageBreakBefore w:val="0"/>
        <w:kinsoku w:val="0"/>
        <w:wordWrap/>
        <w:overflowPunct/>
        <w:topLinePunct w:val="0"/>
        <w:autoSpaceDE w:val="0"/>
        <w:autoSpaceDN w:val="0"/>
        <w:bidi w:val="0"/>
        <w:adjustRightInd w:val="0"/>
        <w:snapToGrid w:val="0"/>
        <w:spacing w:before="160" w:line="282" w:lineRule="atLeast"/>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3.3 乙</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方提供的终端设备，</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甲</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方不得擅自拆卸、不得恶意损坏</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CN"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不得丢弃或遗失</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，否则按</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赔付标准</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赔偿;在正常使用情况下，</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合同期内乙</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方将提供免费维护和维修服务。</w:t>
      </w:r>
    </w:p>
    <w:p w14:paraId="6B581504">
      <w:pPr>
        <w:pageBreakBefore w:val="0"/>
        <w:kinsoku w:val="0"/>
        <w:wordWrap/>
        <w:overflowPunct/>
        <w:topLinePunct w:val="0"/>
        <w:autoSpaceDE w:val="0"/>
        <w:autoSpaceDN w:val="0"/>
        <w:bidi w:val="0"/>
        <w:adjustRightInd w:val="0"/>
        <w:snapToGrid w:val="0"/>
        <w:spacing w:before="160" w:line="282" w:lineRule="atLeast"/>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3.4 </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如乙方需要配合国家有关部门处理互联网网络与信息安全工作，包括但不限于提供客户基础资料、采取技术处理措施等，甲方应当予以配合，并对由此造成的影响予以谅解。乙方在接到投诉或发现甲方有危害互联网安全的行为时，有权或按照有关部门的要求立即针对不同情况予以处理，包括但不限于暂停本协议项下的业务等，直到确认甲方已完成有效整改后，甲方可恢复本协议的履行，由此产生的法律责任由甲方承担，乙方不承担任何责任。</w:t>
      </w:r>
    </w:p>
    <w:p w14:paraId="3E20BDBD">
      <w:pPr>
        <w:pageBreakBefore w:val="0"/>
        <w:kinsoku w:val="0"/>
        <w:wordWrap/>
        <w:overflowPunct/>
        <w:topLinePunct w:val="0"/>
        <w:autoSpaceDE w:val="0"/>
        <w:autoSpaceDN w:val="0"/>
        <w:bidi w:val="0"/>
        <w:adjustRightInd w:val="0"/>
        <w:snapToGrid w:val="0"/>
        <w:spacing w:before="160" w:line="282" w:lineRule="atLeast"/>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3.5 </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乙方为甲方提供重要客户保障机制，</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Hans" w:bidi="zh-TW"/>
        </w:rPr>
        <w:t>常规问题</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支持7×24小时故障</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Hans" w:bidi="zh-TW"/>
        </w:rPr>
        <w:t>修复</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Hans" w:bidi="zh-TW"/>
        </w:rPr>
        <w:t>特殊问题如固件更换等</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故障</w:t>
      </w:r>
      <w:r>
        <w:rPr>
          <w:rFonts w:ascii="宋体" w:hAnsi="宋体" w:eastAsia="宋体" w:cs="宋体"/>
          <w:b w:val="0"/>
          <w:snapToGrid/>
          <w:color w:val="000000"/>
          <w:spacing w:val="0"/>
          <w:w w:val="100"/>
          <w:position w:val="0"/>
          <w:sz w:val="19"/>
          <w:szCs w:val="19"/>
          <w:highlight w:val="none"/>
          <w:u w:val="none"/>
          <w:shd w:val="clear" w:color="auto" w:fill="auto"/>
          <w:lang w:val="zh-TW" w:eastAsia="zh-Hans" w:bidi="zh-TW"/>
        </w:rPr>
        <w:t>48</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Hans" w:bidi="zh-TW"/>
        </w:rPr>
        <w:t>h内修复</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。乙方实行一点申告，全程服务，负责故障的全程处理，甲方应积极予以协助配合。甲方可通过乙方</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服务热线4008-919-109 、官方微信公众号“翼扬网络”</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进行业务故障申报。</w:t>
      </w:r>
    </w:p>
    <w:p w14:paraId="319357C7">
      <w:pPr>
        <w:pageBreakBefore w:val="0"/>
        <w:kinsoku w:val="0"/>
        <w:wordWrap/>
        <w:overflowPunct/>
        <w:topLinePunct w:val="0"/>
        <w:autoSpaceDE w:val="0"/>
        <w:autoSpaceDN w:val="0"/>
        <w:bidi w:val="0"/>
        <w:adjustRightInd w:val="0"/>
        <w:snapToGrid w:val="0"/>
        <w:spacing w:before="160" w:line="282" w:lineRule="atLeast"/>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3.6 </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因乙方进行</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Hans" w:bidi="zh-TW"/>
        </w:rPr>
        <w:t>定</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期设备维护、系统升级改造、必要的施工、</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Hans" w:bidi="zh-TW"/>
        </w:rPr>
        <w:t>割接</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等可能影响互联网</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专线</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业务的正常使用时，乙方应</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Hans" w:bidi="zh-TW"/>
        </w:rPr>
        <w:t>第一时间</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通知甲方，说明必要情况，并尽可能减少对业务使用的影响，但乙方不就此承担任何责任。</w:t>
      </w:r>
    </w:p>
    <w:p w14:paraId="7ED819C5">
      <w:pPr>
        <w:pageBreakBefore w:val="0"/>
        <w:kinsoku w:val="0"/>
        <w:wordWrap/>
        <w:overflowPunct/>
        <w:topLinePunct w:val="0"/>
        <w:autoSpaceDE w:val="0"/>
        <w:autoSpaceDN w:val="0"/>
        <w:bidi w:val="0"/>
        <w:adjustRightInd w:val="0"/>
        <w:snapToGrid w:val="0"/>
        <w:spacing w:before="160" w:line="282" w:lineRule="atLeast"/>
        <w:rPr>
          <w:rFonts w:hint="eastAsia" w:ascii="宋体" w:hAnsi="宋体" w:eastAsia="宋体" w:cs="宋体"/>
          <w:b w:val="0"/>
          <w:snapToGrid/>
          <w:color w:val="000000"/>
          <w:spacing w:val="0"/>
          <w:w w:val="100"/>
          <w:position w:val="0"/>
          <w:sz w:val="19"/>
          <w:szCs w:val="19"/>
          <w:highlight w:val="none"/>
          <w:u w:val="none"/>
          <w:shd w:val="clear" w:color="auto" w:fill="auto"/>
          <w:lang w:val="zh-TW"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3.7 乙方应</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按照国家规定的电信资费标准收取各项费用，保留在国家规定的资费政策范围内调整资费的权利</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CN" w:bidi="zh-TW"/>
        </w:rPr>
        <w:t>。</w:t>
      </w:r>
    </w:p>
    <w:p w14:paraId="7F92E979">
      <w:pPr>
        <w:pStyle w:val="5"/>
        <w:pageBreakBefore w:val="0"/>
        <w:kinsoku w:val="0"/>
        <w:wordWrap/>
        <w:overflowPunct/>
        <w:topLinePunct w:val="0"/>
        <w:autoSpaceDE w:val="0"/>
        <w:autoSpaceDN w:val="0"/>
        <w:bidi w:val="0"/>
        <w:adjustRightInd w:val="0"/>
        <w:snapToGrid w:val="0"/>
        <w:spacing w:line="282" w:lineRule="atLeast"/>
        <w:rPr>
          <w:rFonts w:hint="eastAsia" w:ascii="宋体" w:hAnsi="宋体" w:eastAsia="宋体" w:cs="宋体"/>
          <w:b/>
          <w:bCs/>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bCs/>
          <w:snapToGrid/>
          <w:color w:val="000000"/>
          <w:spacing w:val="0"/>
          <w:w w:val="100"/>
          <w:position w:val="0"/>
          <w:sz w:val="19"/>
          <w:szCs w:val="19"/>
          <w:highlight w:val="none"/>
          <w:u w:val="none"/>
          <w:shd w:val="clear" w:color="auto" w:fill="auto"/>
          <w:lang w:val="zh-TW" w:eastAsia="zh-TW" w:bidi="zh-TW"/>
        </w:rPr>
        <w:t>第</w:t>
      </w:r>
      <w:r>
        <w:rPr>
          <w:rFonts w:hint="eastAsia" w:ascii="宋体" w:hAnsi="宋体" w:eastAsia="宋体" w:cs="宋体"/>
          <w:b/>
          <w:bCs/>
          <w:snapToGrid/>
          <w:color w:val="000000"/>
          <w:spacing w:val="0"/>
          <w:w w:val="100"/>
          <w:position w:val="0"/>
          <w:sz w:val="19"/>
          <w:szCs w:val="19"/>
          <w:highlight w:val="none"/>
          <w:u w:val="none"/>
          <w:shd w:val="clear" w:color="auto" w:fill="auto"/>
          <w:lang w:val="en-US" w:eastAsia="zh-CN" w:bidi="zh-TW"/>
        </w:rPr>
        <w:t>四</w:t>
      </w:r>
      <w:r>
        <w:rPr>
          <w:rFonts w:hint="eastAsia" w:ascii="宋体" w:hAnsi="宋体" w:eastAsia="宋体" w:cs="宋体"/>
          <w:b/>
          <w:bCs/>
          <w:snapToGrid/>
          <w:color w:val="000000"/>
          <w:spacing w:val="0"/>
          <w:w w:val="100"/>
          <w:position w:val="0"/>
          <w:sz w:val="19"/>
          <w:szCs w:val="19"/>
          <w:highlight w:val="none"/>
          <w:u w:val="none"/>
          <w:shd w:val="clear" w:color="auto" w:fill="auto"/>
          <w:lang w:val="zh-TW" w:eastAsia="zh-TW" w:bidi="zh-TW"/>
        </w:rPr>
        <w:t>条 开通验收</w:t>
      </w:r>
    </w:p>
    <w:p w14:paraId="6C25868E">
      <w:pPr>
        <w:pageBreakBefore w:val="0"/>
        <w:kinsoku w:val="0"/>
        <w:wordWrap/>
        <w:overflowPunct/>
        <w:topLinePunct w:val="0"/>
        <w:autoSpaceDE w:val="0"/>
        <w:autoSpaceDN w:val="0"/>
        <w:bidi w:val="0"/>
        <w:adjustRightInd w:val="0"/>
        <w:snapToGrid w:val="0"/>
        <w:spacing w:before="121" w:line="282" w:lineRule="atLeast"/>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4.1 甲</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方办理</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入网登记和</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新装手续后，乙方承诺自甲方申请之日起</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   3-5  </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个工作日内完成宽带</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安装</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本协议生效后，乙方</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按约定完成</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甲方订购</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宽带</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的开通工作。如甲方对开通时间另有要求，</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双方协商确定后，</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乙方应按照甲方要求的时间开通。</w:t>
      </w:r>
    </w:p>
    <w:p w14:paraId="2B6E9BF9">
      <w:pPr>
        <w:pageBreakBefore w:val="0"/>
        <w:kinsoku w:val="0"/>
        <w:wordWrap/>
        <w:overflowPunct/>
        <w:topLinePunct w:val="0"/>
        <w:autoSpaceDE w:val="0"/>
        <w:autoSpaceDN w:val="0"/>
        <w:bidi w:val="0"/>
        <w:adjustRightInd w:val="0"/>
        <w:snapToGrid w:val="0"/>
        <w:spacing w:before="160" w:line="282" w:lineRule="atLeast"/>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4</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2 甲方宽带安装后，自通网之日起计费，若遇</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实际存在技术</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卡点</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或线路端口资源不到位</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导致无法交付无法通网的</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，乙方退还甲方</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已缴未用的</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费用，同时本协议终止</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CN"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双方互不追责</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w:t>
      </w:r>
    </w:p>
    <w:p w14:paraId="52924D95">
      <w:pPr>
        <w:pageBreakBefore w:val="0"/>
        <w:kinsoku w:val="0"/>
        <w:wordWrap/>
        <w:overflowPunct/>
        <w:topLinePunct w:val="0"/>
        <w:autoSpaceDE w:val="0"/>
        <w:autoSpaceDN w:val="0"/>
        <w:bidi w:val="0"/>
        <w:adjustRightInd w:val="0"/>
        <w:snapToGrid w:val="0"/>
        <w:spacing w:before="160" w:line="282" w:lineRule="atLeast"/>
        <w:rPr>
          <w:rFonts w:hint="default"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4.3 </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业务验收应在乙方施工完毕后</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CN"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2</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CN" w:bidi="zh-TW"/>
        </w:rPr>
        <w:t>】</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个工作日内，由甲乙双方相关人员共同确认。如甲方对工程验收有异议，则应在</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Hans" w:bidi="zh-TW"/>
        </w:rPr>
        <w:t>验收结束前</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提出书面意见；如甲方在</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Hans" w:bidi="zh-TW"/>
        </w:rPr>
        <w:t>验收结束前</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对验收未提出书面意见的，则无论是否确认开通，均视为验收已通过且甲方已同意开通业务</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CN"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线路自宽带通网之日起开始计费。</w:t>
      </w:r>
    </w:p>
    <w:p w14:paraId="760C36A7">
      <w:pPr>
        <w:pStyle w:val="5"/>
        <w:pageBreakBefore w:val="0"/>
        <w:kinsoku w:val="0"/>
        <w:wordWrap/>
        <w:overflowPunct/>
        <w:topLinePunct w:val="0"/>
        <w:autoSpaceDE w:val="0"/>
        <w:autoSpaceDN w:val="0"/>
        <w:bidi w:val="0"/>
        <w:adjustRightInd w:val="0"/>
        <w:snapToGrid w:val="0"/>
        <w:spacing w:line="282" w:lineRule="atLeast"/>
        <w:rPr>
          <w:rFonts w:ascii="宋体" w:hAnsi="宋体" w:eastAsia="宋体" w:cs="宋体"/>
          <w:b/>
          <w:bCs/>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bCs/>
          <w:snapToGrid/>
          <w:color w:val="000000"/>
          <w:spacing w:val="0"/>
          <w:w w:val="100"/>
          <w:position w:val="0"/>
          <w:sz w:val="19"/>
          <w:szCs w:val="19"/>
          <w:highlight w:val="none"/>
          <w:u w:val="none"/>
          <w:shd w:val="clear" w:color="auto" w:fill="auto"/>
          <w:lang w:val="zh-TW" w:eastAsia="zh-TW" w:bidi="zh-TW"/>
        </w:rPr>
        <w:t>第</w:t>
      </w:r>
      <w:r>
        <w:rPr>
          <w:rFonts w:hint="eastAsia" w:ascii="宋体" w:hAnsi="宋体" w:eastAsia="宋体" w:cs="宋体"/>
          <w:b/>
          <w:bCs/>
          <w:snapToGrid/>
          <w:color w:val="000000"/>
          <w:spacing w:val="0"/>
          <w:w w:val="100"/>
          <w:position w:val="0"/>
          <w:sz w:val="19"/>
          <w:szCs w:val="19"/>
          <w:highlight w:val="none"/>
          <w:u w:val="none"/>
          <w:shd w:val="clear" w:color="auto" w:fill="auto"/>
          <w:lang w:val="en-US" w:eastAsia="zh-CN" w:bidi="zh-TW"/>
        </w:rPr>
        <w:t>五</w:t>
      </w:r>
      <w:r>
        <w:rPr>
          <w:rFonts w:hint="eastAsia" w:ascii="宋体" w:hAnsi="宋体" w:eastAsia="宋体" w:cs="宋体"/>
          <w:b/>
          <w:bCs/>
          <w:snapToGrid/>
          <w:color w:val="000000"/>
          <w:spacing w:val="0"/>
          <w:w w:val="100"/>
          <w:position w:val="0"/>
          <w:sz w:val="19"/>
          <w:szCs w:val="19"/>
          <w:highlight w:val="none"/>
          <w:u w:val="none"/>
          <w:shd w:val="clear" w:color="auto" w:fill="auto"/>
          <w:lang w:val="zh-TW" w:eastAsia="zh-TW" w:bidi="zh-TW"/>
        </w:rPr>
        <w:t>条 计费和结算</w:t>
      </w:r>
    </w:p>
    <w:p w14:paraId="64520CAF">
      <w:pPr>
        <w:pageBreakBefore w:val="0"/>
        <w:kinsoku w:val="0"/>
        <w:wordWrap/>
        <w:overflowPunct/>
        <w:topLinePunct w:val="0"/>
        <w:autoSpaceDE w:val="0"/>
        <w:autoSpaceDN w:val="0"/>
        <w:bidi w:val="0"/>
        <w:adjustRightInd w:val="0"/>
        <w:snapToGrid w:val="0"/>
        <w:spacing w:before="160" w:line="282" w:lineRule="atLeast"/>
        <w:ind w:firstLine="380" w:firstLineChars="200"/>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Hans" w:bidi="zh-TW"/>
        </w:rPr>
        <w:t>甲方</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申请</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Hans" w:bidi="zh-TW"/>
        </w:rPr>
        <w:t>办理乙方宽带业务，</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乙方按照本协议约定的资费标准向甲方收取</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宽带业</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务的各项费用</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费用为含税价</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CN" w:bidi="zh-TW"/>
        </w:rPr>
        <w:t>，</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增值税</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税</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率为【6%】)</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CN"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具体服务内容为：</w:t>
      </w:r>
    </w:p>
    <w:tbl>
      <w:tblPr>
        <w:tblStyle w:val="13"/>
        <w:tblW w:w="8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6852"/>
      </w:tblGrid>
      <w:tr w14:paraId="710E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756" w:type="dxa"/>
            <w:vAlign w:val="center"/>
          </w:tcPr>
          <w:p w14:paraId="365DDC4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82" w:lineRule="atLeast"/>
              <w:ind w:left="0" w:right="0"/>
              <w:jc w:val="left"/>
              <w:textAlignment w:val="center"/>
              <w:rPr>
                <w:rFonts w:hint="default"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甲方名称</w:t>
            </w:r>
          </w:p>
        </w:tc>
        <w:tc>
          <w:tcPr>
            <w:tcW w:w="6852" w:type="dxa"/>
            <w:vAlign w:val="center"/>
          </w:tcPr>
          <w:p w14:paraId="1A453FD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82" w:lineRule="atLeast"/>
              <w:ind w:left="0" w:right="0"/>
              <w:jc w:val="left"/>
              <w:textAlignment w:val="cente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广州回力鞋业销售有限公司</w:t>
            </w:r>
          </w:p>
        </w:tc>
      </w:tr>
      <w:tr w14:paraId="7FBBC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756" w:type="dxa"/>
            <w:vAlign w:val="center"/>
          </w:tcPr>
          <w:p w14:paraId="37000182">
            <w:pPr>
              <w:pStyle w:val="10"/>
              <w:keepNext w:val="0"/>
              <w:keepLines w:val="0"/>
              <w:widowControl/>
              <w:suppressLineNumbers w:val="0"/>
              <w:spacing w:before="0" w:beforeAutospacing="0" w:after="0" w:afterAutospacing="0" w:line="283" w:lineRule="auto"/>
              <w:ind w:left="0" w:right="0" w:firstLine="0"/>
              <w:jc w:val="left"/>
              <w:rPr>
                <w:rFonts w:hint="default" w:ascii="宋体" w:hAnsi="宋体" w:eastAsia="宋体" w:cs="宋体"/>
                <w:snapToGrid/>
                <w:sz w:val="19"/>
                <w:szCs w:val="19"/>
                <w:lang w:val="en-US" w:eastAsia="zh-CN" w:bidi="zh-TW"/>
              </w:rPr>
            </w:pPr>
            <w:r>
              <w:rPr>
                <w:rFonts w:hint="eastAsia" w:ascii="宋体" w:hAnsi="宋体" w:eastAsia="宋体" w:cs="宋体"/>
                <w:snapToGrid/>
                <w:sz w:val="19"/>
                <w:szCs w:val="19"/>
                <w:lang w:val="en-US" w:eastAsia="zh-CN" w:bidi="zh-TW"/>
              </w:rPr>
              <w:t>统一社会信用代码</w:t>
            </w:r>
          </w:p>
        </w:tc>
        <w:tc>
          <w:tcPr>
            <w:tcW w:w="6852" w:type="dxa"/>
            <w:vAlign w:val="center"/>
          </w:tcPr>
          <w:p w14:paraId="255510A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82" w:lineRule="atLeast"/>
              <w:ind w:left="0" w:right="0"/>
              <w:jc w:val="left"/>
              <w:textAlignment w:val="center"/>
              <w:rPr>
                <w:rFonts w:hint="default"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default" w:ascii="宋体" w:hAnsi="宋体" w:eastAsia="宋体" w:cs="宋体"/>
                <w:b w:val="0"/>
                <w:snapToGrid/>
                <w:color w:val="000000"/>
                <w:spacing w:val="0"/>
                <w:w w:val="100"/>
                <w:position w:val="0"/>
                <w:sz w:val="19"/>
                <w:szCs w:val="19"/>
                <w:highlight w:val="none"/>
                <w:u w:val="none"/>
                <w:shd w:val="clear" w:color="auto" w:fill="auto"/>
                <w:lang w:val="en-US" w:eastAsia="zh-CN" w:bidi="zh-TW"/>
              </w:rPr>
              <w:t>91440105725620223L</w:t>
            </w:r>
            <w:bookmarkStart w:id="1" w:name="_GoBack"/>
            <w:bookmarkEnd w:id="1"/>
          </w:p>
        </w:tc>
      </w:tr>
      <w:tr w14:paraId="0EB2D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756" w:type="dxa"/>
            <w:vAlign w:val="center"/>
          </w:tcPr>
          <w:p w14:paraId="74B7F24E">
            <w:pPr>
              <w:pStyle w:val="10"/>
              <w:keepNext w:val="0"/>
              <w:keepLines w:val="0"/>
              <w:widowControl/>
              <w:suppressLineNumbers w:val="0"/>
              <w:spacing w:before="0" w:beforeAutospacing="0" w:after="0" w:afterAutospacing="0" w:line="283" w:lineRule="auto"/>
              <w:ind w:left="0" w:right="0" w:firstLine="0"/>
              <w:jc w:val="left"/>
              <w:rPr>
                <w:rFonts w:hint="eastAsia" w:ascii="宋体" w:hAnsi="宋体" w:eastAsia="宋体" w:cs="宋体"/>
                <w:snapToGrid/>
                <w:sz w:val="19"/>
                <w:szCs w:val="19"/>
                <w:lang w:val="en-US"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宽带接入地址</w:t>
            </w:r>
          </w:p>
        </w:tc>
        <w:tc>
          <w:tcPr>
            <w:tcW w:w="6852" w:type="dxa"/>
            <w:vAlign w:val="center"/>
          </w:tcPr>
          <w:p w14:paraId="3EB67DB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82" w:lineRule="atLeast"/>
              <w:ind w:left="0" w:right="0"/>
              <w:jc w:val="left"/>
              <w:textAlignment w:val="center"/>
              <w:rPr>
                <w:rFonts w:hint="default"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佛山北滘万洋科技城三区4栋102</w:t>
            </w:r>
          </w:p>
        </w:tc>
      </w:tr>
      <w:tr w14:paraId="30370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756" w:type="dxa"/>
            <w:vAlign w:val="center"/>
          </w:tcPr>
          <w:p w14:paraId="13AAD5B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82" w:lineRule="atLeast"/>
              <w:ind w:left="0" w:right="0"/>
              <w:jc w:val="left"/>
              <w:textAlignment w:val="cente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业务类别</w:t>
            </w:r>
          </w:p>
        </w:tc>
        <w:tc>
          <w:tcPr>
            <w:tcW w:w="6852" w:type="dxa"/>
            <w:vAlign w:val="center"/>
          </w:tcPr>
          <w:p w14:paraId="59F1172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82" w:lineRule="atLeast"/>
              <w:ind w:left="0" w:right="0"/>
              <w:jc w:val="left"/>
              <w:textAlignment w:val="center"/>
              <w:rPr>
                <w:rFonts w:hint="default" w:ascii="宋体" w:hAnsi="宋体" w:eastAsia="宋体" w:cs="宋体"/>
                <w:b w:val="0"/>
                <w:snapToGrid/>
                <w:color w:val="000000"/>
                <w:spacing w:val="0"/>
                <w:w w:val="100"/>
                <w:position w:val="0"/>
                <w:sz w:val="19"/>
                <w:szCs w:val="19"/>
                <w:highlight w:val="none"/>
                <w:u w:val="none"/>
                <w:shd w:val="clear" w:color="auto" w:fill="auto"/>
                <w:lang w:val="en-US"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☑开户        □移机          □续费         □销户</w:t>
            </w:r>
          </w:p>
        </w:tc>
      </w:tr>
      <w:tr w14:paraId="5C4F1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756" w:type="dxa"/>
            <w:vAlign w:val="center"/>
          </w:tcPr>
          <w:p w14:paraId="0DEB605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82" w:lineRule="atLeast"/>
              <w:ind w:left="0" w:right="0"/>
              <w:jc w:val="left"/>
              <w:textAlignment w:val="center"/>
              <w:rPr>
                <w:rFonts w:hint="default"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宽带类型</w:t>
            </w:r>
          </w:p>
        </w:tc>
        <w:tc>
          <w:tcPr>
            <w:tcW w:w="6852" w:type="dxa"/>
            <w:vAlign w:val="center"/>
          </w:tcPr>
          <w:p w14:paraId="355100E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82" w:lineRule="atLeast"/>
              <w:ind w:left="0" w:right="0"/>
              <w:jc w:val="left"/>
              <w:textAlignment w:val="center"/>
              <w:rPr>
                <w:rFonts w:hint="default"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☑普通宽带    □商务专线      □ 公寓宽带    □其他</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            </w:t>
            </w:r>
          </w:p>
        </w:tc>
      </w:tr>
      <w:tr w14:paraId="672C9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756" w:type="dxa"/>
            <w:vAlign w:val="center"/>
          </w:tcPr>
          <w:p w14:paraId="3C2A3CC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82" w:lineRule="atLeast"/>
              <w:ind w:left="0" w:right="0"/>
              <w:jc w:val="left"/>
              <w:textAlignment w:val="center"/>
              <w:rPr>
                <w:rFonts w:hint="default"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宽带数量</w:t>
            </w:r>
          </w:p>
        </w:tc>
        <w:tc>
          <w:tcPr>
            <w:tcW w:w="6852" w:type="dxa"/>
            <w:vAlign w:val="center"/>
          </w:tcPr>
          <w:p w14:paraId="2B4783FE">
            <w:pPr>
              <w:keepNext w:val="0"/>
              <w:keepLines w:val="0"/>
              <w:pageBreakBefore w:val="0"/>
              <w:widowControl w:val="0"/>
              <w:suppressLineNumbers w:val="0"/>
              <w:kinsoku w:val="0"/>
              <w:wordWrap/>
              <w:overflowPunct/>
              <w:topLinePunct w:val="0"/>
              <w:autoSpaceDE w:val="0"/>
              <w:autoSpaceDN w:val="0"/>
              <w:bidi w:val="0"/>
              <w:adjustRightInd w:val="0"/>
              <w:snapToGrid w:val="0"/>
              <w:spacing w:before="160" w:beforeAutospacing="0" w:after="0" w:afterAutospacing="0" w:line="282" w:lineRule="atLeast"/>
              <w:ind w:left="0" w:right="0"/>
              <w:jc w:val="both"/>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CN"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10</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0</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M</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 </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条</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 xml:space="preserve"> </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CN"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□20</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0</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M</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 </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条，</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 xml:space="preserve"> </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CN"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30</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0M</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 </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条，</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 xml:space="preserve">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5</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00M</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条，</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 xml:space="preserve"> </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CN"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10</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00M</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 </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条</w:t>
            </w:r>
          </w:p>
        </w:tc>
      </w:tr>
      <w:tr w14:paraId="6FB77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756" w:type="dxa"/>
            <w:vAlign w:val="center"/>
          </w:tcPr>
          <w:p w14:paraId="5544531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82" w:lineRule="atLeast"/>
              <w:ind w:left="0" w:right="0"/>
              <w:jc w:val="left"/>
              <w:textAlignment w:val="cente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宽带帐户号码</w:t>
            </w:r>
          </w:p>
        </w:tc>
        <w:tc>
          <w:tcPr>
            <w:tcW w:w="6852" w:type="dxa"/>
            <w:vAlign w:val="center"/>
          </w:tcPr>
          <w:p w14:paraId="3B617A50">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82" w:lineRule="atLeast"/>
              <w:ind w:left="0" w:right="0"/>
              <w:jc w:val="left"/>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pPr>
          </w:p>
        </w:tc>
      </w:tr>
      <w:tr w14:paraId="04E01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56" w:type="dxa"/>
            <w:vAlign w:val="center"/>
          </w:tcPr>
          <w:p w14:paraId="4C4F428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82" w:lineRule="atLeast"/>
              <w:ind w:left="0" w:right="0"/>
              <w:jc w:val="left"/>
              <w:textAlignment w:val="center"/>
              <w:rPr>
                <w:rFonts w:hint="default" w:ascii="宋体" w:hAnsi="宋体" w:eastAsia="宋体" w:cs="宋体"/>
                <w:b w:val="0"/>
                <w:snapToGrid/>
                <w:color w:val="000000"/>
                <w:spacing w:val="0"/>
                <w:w w:val="100"/>
                <w:position w:val="0"/>
                <w:sz w:val="19"/>
                <w:szCs w:val="19"/>
                <w:highlight w:val="none"/>
                <w:u w:val="none"/>
                <w:shd w:val="clear" w:color="auto" w:fill="auto"/>
                <w:lang w:val="en-US"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资费标准</w:t>
            </w:r>
          </w:p>
        </w:tc>
        <w:tc>
          <w:tcPr>
            <w:tcW w:w="6852" w:type="dxa"/>
            <w:vAlign w:val="center"/>
          </w:tcPr>
          <w:p w14:paraId="00AD683A">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282" w:lineRule="atLeast"/>
              <w:ind w:left="0" w:right="0" w:rightChars="0"/>
              <w:jc w:val="left"/>
              <w:textAlignment w:val="center"/>
              <w:rPr>
                <w:rFonts w:hint="default"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☑宽带业务使用费：    标准价  </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   4500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元/年，优惠价  </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3333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元/年。</w:t>
            </w:r>
          </w:p>
          <w:p w14:paraId="13381D8B">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282" w:lineRule="atLeast"/>
              <w:ind w:left="0" w:right="0" w:rightChars="0"/>
              <w:jc w:val="left"/>
              <w:textAlignment w:val="cente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☑装机费：            标准价  </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 108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元</w:t>
            </w:r>
            <w:r>
              <w:rPr>
                <w:rFonts w:hint="default" w:ascii="宋体" w:hAnsi="宋体" w:eastAsia="宋体" w:cs="宋体"/>
                <w:b w:val="0"/>
                <w:snapToGrid/>
                <w:color w:val="000000"/>
                <w:spacing w:val="0"/>
                <w:w w:val="100"/>
                <w:position w:val="0"/>
                <w:sz w:val="19"/>
                <w:szCs w:val="19"/>
                <w:highlight w:val="none"/>
                <w:u w:val="none"/>
                <w:shd w:val="clear" w:color="auto" w:fill="auto"/>
                <w:lang w:val="en-US" w:eastAsia="zh-CN"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次 ，优惠价 </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   0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 元/次。</w:t>
            </w:r>
          </w:p>
          <w:p w14:paraId="6C2420AC">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282" w:lineRule="atLeast"/>
              <w:ind w:left="0" w:right="0" w:rightChars="0"/>
              <w:jc w:val="left"/>
              <w:textAlignment w:val="cente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☑其他一次性费用：    标准价  </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  0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元/次 ，优惠价 </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   0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 元/次。</w:t>
            </w:r>
          </w:p>
          <w:p w14:paraId="1533DEFF">
            <w:pPr>
              <w:keepNext w:val="0"/>
              <w:keepLines w:val="0"/>
              <w:widowControl/>
              <w:suppressLineNumbers w:val="0"/>
              <w:spacing w:before="0" w:beforeAutospacing="0" w:after="0" w:afterAutospacing="0" w:line="282" w:lineRule="atLeast"/>
              <w:ind w:left="0" w:right="0"/>
              <w:jc w:val="left"/>
              <w:textAlignment w:val="center"/>
              <w:rPr>
                <w:rFonts w:hint="default"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☑网络终端设备押金：  标准价 </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  200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元/台 (备注：年付免收押金) 。</w:t>
            </w:r>
          </w:p>
        </w:tc>
      </w:tr>
      <w:tr w14:paraId="0A394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756" w:type="dxa"/>
            <w:vAlign w:val="center"/>
          </w:tcPr>
          <w:p w14:paraId="3E29877A">
            <w:pPr>
              <w:keepNext w:val="0"/>
              <w:keepLines w:val="0"/>
              <w:pageBreakBefore w:val="0"/>
              <w:widowControl w:val="0"/>
              <w:suppressLineNumbers w:val="0"/>
              <w:kinsoku w:val="0"/>
              <w:wordWrap/>
              <w:overflowPunct/>
              <w:topLinePunct w:val="0"/>
              <w:autoSpaceDE w:val="0"/>
              <w:autoSpaceDN w:val="0"/>
              <w:bidi w:val="0"/>
              <w:adjustRightInd w:val="0"/>
              <w:snapToGrid w:val="0"/>
              <w:spacing w:before="160" w:beforeAutospacing="0" w:after="0" w:afterAutospacing="0" w:line="282" w:lineRule="atLeast"/>
              <w:ind w:left="0" w:right="0"/>
              <w:jc w:val="left"/>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付费周期</w:t>
            </w:r>
          </w:p>
        </w:tc>
        <w:tc>
          <w:tcPr>
            <w:tcW w:w="6852" w:type="dxa"/>
            <w:vAlign w:val="center"/>
          </w:tcPr>
          <w:p w14:paraId="67C3EFEF">
            <w:pPr>
              <w:pStyle w:val="10"/>
              <w:keepNext w:val="0"/>
              <w:keepLines w:val="0"/>
              <w:widowControl/>
              <w:suppressLineNumbers w:val="0"/>
              <w:spacing w:before="128" w:beforeAutospacing="0" w:after="0" w:afterAutospacing="0" w:line="283" w:lineRule="auto"/>
              <w:ind w:left="0" w:right="0" w:firstLine="0"/>
              <w:jc w:val="both"/>
              <w:rPr>
                <w:rFonts w:hint="eastAsia" w:ascii="宋体" w:hAnsi="宋体" w:eastAsia="宋体" w:cs="宋体"/>
                <w:b w:val="0"/>
                <w:snapToGrid/>
                <w:color w:val="000000"/>
                <w:spacing w:val="0"/>
                <w:w w:val="100"/>
                <w:position w:val="0"/>
                <w:sz w:val="19"/>
                <w:szCs w:val="19"/>
                <w:highlight w:val="none"/>
                <w:u w:val="none"/>
                <w:shd w:val="clear" w:color="auto" w:fill="auto"/>
                <w:lang w:val="zh-TW" w:eastAsia="zh-CN" w:bidi="zh-TW"/>
              </w:rPr>
            </w:pPr>
            <w:r>
              <w:rPr>
                <w:rFonts w:hint="eastAsia" w:ascii="宋体" w:hAnsi="宋体" w:eastAsia="宋体" w:cs="宋体"/>
                <w:color w:val="000000"/>
                <w:sz w:val="19"/>
                <w:szCs w:val="19"/>
                <w:shd w:val="clear" w:fill="FFFFFF"/>
                <w:lang w:eastAsia="zh-CN"/>
              </w:rPr>
              <w:t>☑</w:t>
            </w:r>
            <w:r>
              <w:rPr>
                <w:rFonts w:hint="eastAsia" w:ascii="宋体" w:hAnsi="宋体" w:eastAsia="宋体" w:cs="宋体"/>
                <w:color w:val="000000"/>
                <w:sz w:val="19"/>
                <w:szCs w:val="19"/>
                <w:shd w:val="clear" w:fill="FFFFFF"/>
              </w:rPr>
              <w:t>按年付费   □按半年付费</w:t>
            </w:r>
            <w:r>
              <w:rPr>
                <w:rFonts w:hint="eastAsia" w:ascii="宋体" w:hAnsi="宋体" w:eastAsia="宋体" w:cs="宋体"/>
                <w:color w:val="000000"/>
                <w:sz w:val="19"/>
                <w:szCs w:val="19"/>
                <w:shd w:val="clear" w:fill="FFFFFF"/>
                <w:lang w:val="en-US" w:eastAsia="zh-CN"/>
              </w:rPr>
              <w:t xml:space="preserve"> </w:t>
            </w:r>
            <w:r>
              <w:rPr>
                <w:rFonts w:hint="eastAsia" w:ascii="宋体" w:hAnsi="宋体" w:eastAsia="宋体" w:cs="宋体"/>
                <w:color w:val="000000"/>
                <w:sz w:val="19"/>
                <w:szCs w:val="19"/>
                <w:shd w:val="clear" w:fill="FFFFFF"/>
              </w:rPr>
              <w:t>  □按季度付费</w:t>
            </w:r>
            <w:r>
              <w:rPr>
                <w:rFonts w:hint="eastAsia" w:ascii="宋体" w:hAnsi="宋体" w:eastAsia="宋体" w:cs="宋体"/>
                <w:color w:val="000000"/>
                <w:sz w:val="19"/>
                <w:szCs w:val="19"/>
                <w:shd w:val="clear" w:fill="FFFFFF"/>
                <w:lang w:val="en-US" w:eastAsia="zh-CN"/>
              </w:rPr>
              <w:t xml:space="preserve"> </w:t>
            </w:r>
            <w:r>
              <w:rPr>
                <w:rFonts w:hint="eastAsia" w:ascii="宋体" w:hAnsi="宋体" w:eastAsia="宋体" w:cs="宋体"/>
                <w:color w:val="000000"/>
                <w:sz w:val="19"/>
                <w:szCs w:val="19"/>
                <w:shd w:val="clear" w:fill="FFFFFF"/>
              </w:rPr>
              <w:t> □其他</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            </w:t>
            </w:r>
          </w:p>
        </w:tc>
      </w:tr>
      <w:tr w14:paraId="0E1F0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756" w:type="dxa"/>
            <w:vAlign w:val="center"/>
          </w:tcPr>
          <w:p w14:paraId="419353C9">
            <w:pPr>
              <w:keepNext w:val="0"/>
              <w:keepLines w:val="0"/>
              <w:pageBreakBefore w:val="0"/>
              <w:widowControl w:val="0"/>
              <w:suppressLineNumbers w:val="0"/>
              <w:kinsoku w:val="0"/>
              <w:wordWrap/>
              <w:overflowPunct/>
              <w:topLinePunct w:val="0"/>
              <w:autoSpaceDE w:val="0"/>
              <w:autoSpaceDN w:val="0"/>
              <w:bidi w:val="0"/>
              <w:adjustRightInd w:val="0"/>
              <w:snapToGrid w:val="0"/>
              <w:spacing w:before="160" w:beforeAutospacing="0" w:after="0" w:afterAutospacing="0" w:line="282" w:lineRule="atLeast"/>
              <w:ind w:left="0" w:right="0"/>
              <w:jc w:val="left"/>
              <w:rPr>
                <w:rFonts w:hint="default" w:ascii="宋体" w:hAnsi="宋体" w:eastAsia="宋体" w:cs="宋体"/>
                <w:b w:val="0"/>
                <w:snapToGrid/>
                <w:color w:val="000000"/>
                <w:spacing w:val="0"/>
                <w:w w:val="100"/>
                <w:position w:val="0"/>
                <w:sz w:val="19"/>
                <w:szCs w:val="19"/>
                <w:highlight w:val="none"/>
                <w:u w:val="none"/>
                <w:shd w:val="clear" w:color="auto" w:fill="auto"/>
                <w:lang w:val="en-US"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付费方式</w:t>
            </w:r>
          </w:p>
        </w:tc>
        <w:tc>
          <w:tcPr>
            <w:tcW w:w="6852" w:type="dxa"/>
            <w:vAlign w:val="center"/>
          </w:tcPr>
          <w:p w14:paraId="5AAC279B">
            <w:pPr>
              <w:keepNext w:val="0"/>
              <w:keepLines w:val="0"/>
              <w:pageBreakBefore w:val="0"/>
              <w:widowControl w:val="0"/>
              <w:suppressLineNumbers w:val="0"/>
              <w:kinsoku w:val="0"/>
              <w:wordWrap/>
              <w:overflowPunct/>
              <w:topLinePunct w:val="0"/>
              <w:autoSpaceDE w:val="0"/>
              <w:autoSpaceDN w:val="0"/>
              <w:bidi w:val="0"/>
              <w:adjustRightInd w:val="0"/>
              <w:snapToGrid w:val="0"/>
              <w:spacing w:before="160" w:beforeAutospacing="0" w:after="0" w:afterAutospacing="0" w:line="282" w:lineRule="atLeast"/>
              <w:ind w:left="0" w:right="0"/>
              <w:jc w:val="both"/>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CN"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银行转账   </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CN"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现金预缴（一次性支付</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  3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年费用，共计</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  10000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元）</w:t>
            </w:r>
          </w:p>
          <w:p w14:paraId="61A97BB3">
            <w:pPr>
              <w:keepNext w:val="0"/>
              <w:keepLines w:val="0"/>
              <w:pageBreakBefore w:val="0"/>
              <w:widowControl w:val="0"/>
              <w:suppressLineNumbers w:val="0"/>
              <w:kinsoku w:val="0"/>
              <w:wordWrap/>
              <w:overflowPunct/>
              <w:topLinePunct w:val="0"/>
              <w:autoSpaceDE w:val="0"/>
              <w:autoSpaceDN w:val="0"/>
              <w:bidi w:val="0"/>
              <w:adjustRightInd w:val="0"/>
              <w:snapToGrid w:val="0"/>
              <w:spacing w:before="160" w:beforeAutospacing="0" w:after="0" w:afterAutospacing="0" w:line="282" w:lineRule="atLeast"/>
              <w:ind w:left="0" w:right="0"/>
              <w:jc w:val="both"/>
              <w:rPr>
                <w:rFonts w:hint="default"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snapToGrid w:val="0"/>
                <w:color w:val="auto"/>
                <w:sz w:val="19"/>
                <w:szCs w:val="19"/>
                <w:highlight w:val="none"/>
                <w:lang w:val="en-US" w:eastAsia="zh-CN"/>
              </w:rPr>
              <w:t>合同签约之后</w:t>
            </w:r>
            <w:r>
              <w:rPr>
                <w:rFonts w:hint="eastAsia" w:ascii="宋体" w:hAnsi="宋体" w:eastAsia="宋体"/>
                <w:snapToGrid w:val="0"/>
                <w:color w:val="auto"/>
                <w:sz w:val="19"/>
                <w:szCs w:val="19"/>
                <w:highlight w:val="none"/>
              </w:rPr>
              <w:t>甲方于</w:t>
            </w:r>
            <w:r>
              <w:rPr>
                <w:rFonts w:hint="eastAsia" w:ascii="宋体" w:hAnsi="宋体" w:eastAsia="宋体"/>
                <w:snapToGrid w:val="0"/>
                <w:color w:val="auto"/>
                <w:sz w:val="19"/>
                <w:szCs w:val="19"/>
                <w:highlight w:val="none"/>
                <w:lang w:val="en-US" w:eastAsia="zh-CN"/>
              </w:rPr>
              <w:t>5</w:t>
            </w:r>
            <w:r>
              <w:rPr>
                <w:rFonts w:hint="eastAsia" w:ascii="宋体" w:hAnsi="宋体" w:eastAsia="宋体"/>
                <w:snapToGrid w:val="0"/>
                <w:color w:val="auto"/>
                <w:sz w:val="19"/>
                <w:szCs w:val="19"/>
                <w:highlight w:val="none"/>
              </w:rPr>
              <w:t>个工作日内向乙方支付相应款项</w:t>
            </w:r>
            <w:r>
              <w:rPr>
                <w:rFonts w:hint="eastAsia" w:ascii="宋体" w:hAnsi="宋体" w:eastAsia="宋体"/>
                <w:snapToGrid w:val="0"/>
                <w:color w:val="auto"/>
                <w:sz w:val="19"/>
                <w:szCs w:val="19"/>
                <w:highlight w:val="none"/>
                <w:lang w:eastAsia="zh-CN"/>
              </w:rPr>
              <w:t>，</w:t>
            </w:r>
            <w:r>
              <w:rPr>
                <w:rFonts w:hint="eastAsia" w:ascii="宋体" w:hAnsi="宋体" w:eastAsia="宋体"/>
                <w:snapToGrid w:val="0"/>
                <w:color w:val="auto"/>
                <w:sz w:val="19"/>
                <w:szCs w:val="19"/>
                <w:highlight w:val="none"/>
                <w:lang w:val="en-US" w:eastAsia="zh-CN"/>
              </w:rPr>
              <w:t>乙方收到款项后办理相关手续。</w:t>
            </w:r>
          </w:p>
        </w:tc>
      </w:tr>
      <w:tr w14:paraId="70D1E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756" w:type="dxa"/>
            <w:vAlign w:val="center"/>
          </w:tcPr>
          <w:p w14:paraId="1FE41CD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82" w:lineRule="atLeast"/>
              <w:ind w:left="0" w:right="0"/>
              <w:jc w:val="left"/>
              <w:textAlignment w:val="center"/>
              <w:rPr>
                <w:rFonts w:hint="default"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宽带开通日期</w:t>
            </w:r>
          </w:p>
        </w:tc>
        <w:tc>
          <w:tcPr>
            <w:tcW w:w="6852" w:type="dxa"/>
            <w:vAlign w:val="center"/>
          </w:tcPr>
          <w:p w14:paraId="2B90C08C">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82" w:lineRule="atLeast"/>
              <w:ind w:left="0" w:right="0" w:firstLine="380" w:firstLineChars="200"/>
              <w:jc w:val="left"/>
              <w:rPr>
                <w:rFonts w:hint="default"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2025  年 3 月  1   日起至 2028 年   2  月   29  日</w:t>
            </w:r>
          </w:p>
        </w:tc>
      </w:tr>
      <w:tr w14:paraId="79209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756" w:type="dxa"/>
            <w:vAlign w:val="center"/>
          </w:tcPr>
          <w:p w14:paraId="7BACD64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82" w:lineRule="atLeast"/>
              <w:ind w:left="0" w:right="0"/>
              <w:jc w:val="left"/>
              <w:textAlignment w:val="center"/>
              <w:rPr>
                <w:rFonts w:hint="default"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宽带赠送时长</w:t>
            </w:r>
          </w:p>
        </w:tc>
        <w:tc>
          <w:tcPr>
            <w:tcW w:w="6852" w:type="dxa"/>
            <w:shd w:val="clear" w:color="auto" w:fill="auto"/>
            <w:vAlign w:val="center"/>
          </w:tcPr>
          <w:p w14:paraId="1387FFEA">
            <w:pPr>
              <w:pStyle w:val="10"/>
              <w:keepNext w:val="0"/>
              <w:keepLines w:val="0"/>
              <w:widowControl/>
              <w:suppressLineNumbers w:val="0"/>
              <w:spacing w:before="128" w:beforeAutospacing="0" w:after="0" w:afterAutospacing="0" w:line="283" w:lineRule="auto"/>
              <w:ind w:left="0" w:leftChars="0" w:right="0" w:rightChars="0" w:firstLine="0" w:firstLineChars="0"/>
              <w:jc w:val="both"/>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自</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  2028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年</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   3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月</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  1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日至</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   2028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年</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  11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月</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  30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日</w:t>
            </w:r>
          </w:p>
          <w:p w14:paraId="60743F52">
            <w:pPr>
              <w:pStyle w:val="10"/>
              <w:keepNext w:val="0"/>
              <w:keepLines w:val="0"/>
              <w:widowControl/>
              <w:suppressLineNumbers w:val="0"/>
              <w:spacing w:before="128" w:beforeAutospacing="0" w:after="0" w:afterAutospacing="0" w:line="283" w:lineRule="auto"/>
              <w:ind w:left="0" w:leftChars="0" w:right="0" w:rightChars="0" w:firstLine="380" w:firstLineChars="200"/>
              <w:jc w:val="both"/>
              <w:rPr>
                <w:rFonts w:hint="eastAsia" w:ascii="宋体" w:hAnsi="宋体" w:eastAsia="宋体" w:cs="宋体"/>
                <w:b w:val="0"/>
                <w:snapToGrid/>
                <w:color w:val="000000"/>
                <w:spacing w:val="0"/>
                <w:w w:val="100"/>
                <w:kern w:val="0"/>
                <w:position w:val="0"/>
                <w:sz w:val="19"/>
                <w:szCs w:val="19"/>
                <w:highlight w:val="none"/>
                <w:u w:val="none"/>
                <w:shd w:val="clear" w:color="auto" w:fill="auto"/>
                <w:lang w:val="en-US" w:eastAsia="zh-CN" w:bidi="zh-TW"/>
              </w:rPr>
            </w:pPr>
            <w:r>
              <w:rPr>
                <w:rFonts w:hint="eastAsia" w:ascii="宋体" w:hAnsi="宋体" w:eastAsia="宋体" w:cs="宋体"/>
                <w:color w:val="000000"/>
                <w:sz w:val="19"/>
                <w:szCs w:val="19"/>
                <w:shd w:val="clear" w:fill="FFFFFF"/>
                <w:lang w:eastAsia="zh-CN"/>
              </w:rPr>
              <w:t>（</w:t>
            </w:r>
            <w:r>
              <w:rPr>
                <w:rFonts w:hint="eastAsia" w:ascii="宋体" w:hAnsi="宋体" w:eastAsia="宋体" w:cs="宋体"/>
                <w:color w:val="000000"/>
                <w:sz w:val="19"/>
                <w:szCs w:val="19"/>
                <w:shd w:val="clear" w:fill="FFFFFF"/>
                <w:lang w:val="en-US" w:eastAsia="zh-CN"/>
              </w:rPr>
              <w:t>备注：宽带实际使用满1年后即可享受赠送</w:t>
            </w:r>
            <w:r>
              <w:rPr>
                <w:rFonts w:hint="eastAsia" w:ascii="宋体" w:hAnsi="宋体" w:eastAsia="宋体" w:cs="宋体"/>
                <w:color w:val="000000"/>
                <w:sz w:val="19"/>
                <w:szCs w:val="19"/>
                <w:shd w:val="clear" w:fill="FFFFFF"/>
                <w:lang w:eastAsia="zh-CN"/>
              </w:rPr>
              <w:t>）</w:t>
            </w:r>
          </w:p>
        </w:tc>
      </w:tr>
      <w:tr w14:paraId="3BD9B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756" w:type="dxa"/>
            <w:vAlign w:val="center"/>
          </w:tcPr>
          <w:p w14:paraId="5C9D4F5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82" w:lineRule="atLeast"/>
              <w:ind w:left="0" w:right="0"/>
              <w:jc w:val="left"/>
              <w:textAlignment w:val="center"/>
              <w:rPr>
                <w:rFonts w:hint="default"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甲方经办人</w:t>
            </w:r>
          </w:p>
        </w:tc>
        <w:tc>
          <w:tcPr>
            <w:tcW w:w="6852" w:type="dxa"/>
            <w:vAlign w:val="center"/>
          </w:tcPr>
          <w:p w14:paraId="22F2B6C3">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82" w:lineRule="atLeast"/>
              <w:ind w:left="0" w:right="0"/>
              <w:jc w:val="left"/>
              <w:rPr>
                <w:rFonts w:hint="default"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 经办人： 梁运雄            联系电话：13711599778</w:t>
            </w:r>
          </w:p>
        </w:tc>
      </w:tr>
    </w:tbl>
    <w:p w14:paraId="742CBD08">
      <w:pPr>
        <w:pStyle w:val="10"/>
        <w:keepNext w:val="0"/>
        <w:keepLines w:val="0"/>
        <w:widowControl/>
        <w:suppressLineNumbers w:val="0"/>
        <w:spacing w:before="128" w:beforeAutospacing="0" w:after="0" w:afterAutospacing="0" w:line="283" w:lineRule="auto"/>
        <w:ind w:left="0" w:firstLine="0"/>
        <w:jc w:val="left"/>
        <w:rPr>
          <w:rFonts w:hint="eastAsia" w:ascii="宋体" w:hAnsi="宋体" w:eastAsia="宋体" w:cs="宋体"/>
          <w:color w:val="000000"/>
          <w:sz w:val="19"/>
          <w:szCs w:val="19"/>
          <w:highlight w:val="none"/>
          <w:shd w:val="clear" w:fill="FFFFFF"/>
        </w:rPr>
      </w:pPr>
      <w:r>
        <w:rPr>
          <w:rFonts w:hint="eastAsia" w:ascii="宋体" w:hAnsi="宋体" w:eastAsia="宋体" w:cs="宋体"/>
          <w:color w:val="000000"/>
          <w:sz w:val="19"/>
          <w:szCs w:val="19"/>
          <w:highlight w:val="none"/>
          <w:shd w:val="clear" w:fill="FFFFFF"/>
        </w:rPr>
        <w:t>5.2 计费</w:t>
      </w:r>
      <w:r>
        <w:rPr>
          <w:rFonts w:hint="eastAsia" w:ascii="宋体" w:hAnsi="宋体" w:eastAsia="宋体" w:cs="宋体"/>
          <w:color w:val="000000"/>
          <w:sz w:val="19"/>
          <w:szCs w:val="19"/>
          <w:highlight w:val="none"/>
          <w:shd w:val="clear" w:fill="FFFFFF"/>
          <w:lang w:val="en-US" w:eastAsia="zh-CN"/>
        </w:rPr>
        <w:t>最小单位为月度</w:t>
      </w:r>
      <w:r>
        <w:rPr>
          <w:rFonts w:hint="eastAsia" w:ascii="宋体" w:hAnsi="宋体" w:eastAsia="宋体" w:cs="宋体"/>
          <w:color w:val="000000"/>
          <w:sz w:val="19"/>
          <w:szCs w:val="19"/>
          <w:highlight w:val="none"/>
          <w:shd w:val="clear" w:fill="FFFFFF"/>
        </w:rPr>
        <w:t>，</w:t>
      </w:r>
      <w:r>
        <w:rPr>
          <w:rFonts w:hint="eastAsia" w:ascii="宋体" w:hAnsi="宋体" w:eastAsia="宋体" w:cs="宋体"/>
          <w:color w:val="000000"/>
          <w:sz w:val="19"/>
          <w:szCs w:val="19"/>
          <w:highlight w:val="none"/>
          <w:shd w:val="clear" w:fill="FFFFFF"/>
          <w:lang w:val="en-US" w:eastAsia="zh-CN"/>
        </w:rPr>
        <w:t>安装</w:t>
      </w:r>
      <w:r>
        <w:rPr>
          <w:rFonts w:hint="eastAsia" w:ascii="宋体" w:hAnsi="宋体" w:eastAsia="宋体" w:cs="宋体"/>
          <w:color w:val="000000"/>
          <w:sz w:val="19"/>
          <w:szCs w:val="19"/>
          <w:highlight w:val="none"/>
          <w:shd w:val="clear" w:fill="FFFFFF"/>
        </w:rPr>
        <w:t>起始日当月、退订日当月不满整月的情况下，当月宽带业务服务费用按月资费收取。</w:t>
      </w:r>
    </w:p>
    <w:p w14:paraId="13BE8314">
      <w:pPr>
        <w:pStyle w:val="10"/>
        <w:keepNext w:val="0"/>
        <w:keepLines w:val="0"/>
        <w:widowControl/>
        <w:suppressLineNumbers w:val="0"/>
        <w:spacing w:before="128" w:beforeAutospacing="0" w:after="0" w:afterAutospacing="0" w:line="283" w:lineRule="auto"/>
        <w:ind w:left="0" w:firstLine="0"/>
        <w:jc w:val="left"/>
        <w:rPr>
          <w:rFonts w:ascii="宋体" w:hAnsi="宋体" w:eastAsia="宋体" w:cs="宋体"/>
          <w:b/>
          <w:bCs/>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bCs/>
          <w:snapToGrid/>
          <w:color w:val="000000"/>
          <w:spacing w:val="0"/>
          <w:w w:val="100"/>
          <w:position w:val="0"/>
          <w:sz w:val="19"/>
          <w:szCs w:val="19"/>
          <w:highlight w:val="none"/>
          <w:u w:val="none"/>
          <w:shd w:val="clear" w:color="auto" w:fill="auto"/>
          <w:lang w:val="zh-TW" w:eastAsia="zh-TW" w:bidi="zh-TW"/>
        </w:rPr>
        <w:t>第</w:t>
      </w:r>
      <w:r>
        <w:rPr>
          <w:rFonts w:hint="eastAsia" w:ascii="宋体" w:hAnsi="宋体" w:eastAsia="宋体" w:cs="宋体"/>
          <w:b/>
          <w:bCs/>
          <w:snapToGrid/>
          <w:color w:val="000000"/>
          <w:spacing w:val="0"/>
          <w:w w:val="100"/>
          <w:position w:val="0"/>
          <w:sz w:val="19"/>
          <w:szCs w:val="19"/>
          <w:highlight w:val="none"/>
          <w:u w:val="none"/>
          <w:shd w:val="clear" w:color="auto" w:fill="auto"/>
          <w:lang w:val="en-US" w:eastAsia="zh-CN" w:bidi="zh-TW"/>
        </w:rPr>
        <w:t>六</w:t>
      </w:r>
      <w:r>
        <w:rPr>
          <w:rFonts w:hint="eastAsia" w:ascii="宋体" w:hAnsi="宋体" w:eastAsia="宋体" w:cs="宋体"/>
          <w:b/>
          <w:bCs/>
          <w:snapToGrid/>
          <w:color w:val="000000"/>
          <w:spacing w:val="0"/>
          <w:w w:val="100"/>
          <w:position w:val="0"/>
          <w:sz w:val="19"/>
          <w:szCs w:val="19"/>
          <w:highlight w:val="none"/>
          <w:u w:val="none"/>
          <w:shd w:val="clear" w:color="auto" w:fill="auto"/>
          <w:lang w:val="zh-TW" w:eastAsia="zh-TW" w:bidi="zh-TW"/>
        </w:rPr>
        <w:t>条 违约责任</w:t>
      </w:r>
    </w:p>
    <w:p w14:paraId="18F6F4EA">
      <w:pPr>
        <w:pageBreakBefore w:val="0"/>
        <w:kinsoku w:val="0"/>
        <w:wordWrap/>
        <w:overflowPunct/>
        <w:topLinePunct w:val="0"/>
        <w:autoSpaceDE w:val="0"/>
        <w:autoSpaceDN w:val="0"/>
        <w:bidi w:val="0"/>
        <w:adjustRightInd w:val="0"/>
        <w:snapToGrid w:val="0"/>
        <w:spacing w:before="160" w:line="282" w:lineRule="atLeast"/>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6</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.1 任何一方未履行本协议项下的任何一项条款均视为违约。任何一方在收到对方的具体说明违约的书面通知后，如确认违约行为实际存在，则应在10日内对违约行为予以纠正并书面通知对方；如认为违约行为不存在，则应在10日内向对方提出书面异议或说明，在此情况下，双方可以就此问题进行协商，协商不成的，按本协议争议解决条款解决。违约方应承担因自己的违约行为而给守约方造成的实际损失。本协议另有约定的，从其约定。但无论何种情况，乙方对本协议项下所有索赔的赔偿总额不超过甲方向乙方实际支付费用的总和。</w:t>
      </w:r>
    </w:p>
    <w:p w14:paraId="74DEF189">
      <w:pPr>
        <w:pageBreakBefore w:val="0"/>
        <w:kinsoku w:val="0"/>
        <w:wordWrap/>
        <w:overflowPunct/>
        <w:topLinePunct w:val="0"/>
        <w:autoSpaceDE w:val="0"/>
        <w:autoSpaceDN w:val="0"/>
        <w:bidi w:val="0"/>
        <w:adjustRightInd w:val="0"/>
        <w:snapToGrid w:val="0"/>
        <w:spacing w:before="160" w:line="282" w:lineRule="atLeast"/>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6.2 甲方超过约定交费期限【7日】仍未交足费用（以下称“欠费”），甲</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方逾期</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CN"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20</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日】</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仍不付费的，</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乙方有权暂停提供服务，并可以按照所欠费用自交费期限届满次日起每日加收千分之三的违约金。自暂停服务之日起30日内，如甲方交清欠费和违约金的，乙方应在甲方交清欠费和违约金后的48小时内恢复暂停的服务。基于乙方投入资源和成本的连续性，暂停</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服务期间</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宽带费用</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和违约金</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将持续收取</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。欠费累计已满</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【30</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日</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CN"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的，</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乙</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方有权单方面终止本协议</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并给予拆机</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且</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保留追缴</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甲</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方所欠费用(含违约金)的权利。</w:t>
      </w:r>
    </w:p>
    <w:p w14:paraId="3BC3889E">
      <w:pPr>
        <w:pageBreakBefore w:val="0"/>
        <w:kinsoku w:val="0"/>
        <w:wordWrap/>
        <w:overflowPunct/>
        <w:topLinePunct w:val="0"/>
        <w:autoSpaceDE w:val="0"/>
        <w:autoSpaceDN w:val="0"/>
        <w:bidi w:val="0"/>
        <w:adjustRightInd w:val="0"/>
        <w:snapToGrid w:val="0"/>
        <w:spacing w:before="160" w:line="282" w:lineRule="atLeast"/>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6.3 </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甲方因自身原因需提前解除协议，需与乙方协商一致</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，已付费用及设备押金乙方有权不予退回，且甲方需要向乙方偿付合同款项的百分之十作为违约金，如造成乙方损失超过违约金的，超出部分由甲方继续承担赔偿责任。甲</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方在缴清所有应付费用后方可办理</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销账</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手续，本协议解除。</w:t>
      </w:r>
    </w:p>
    <w:p w14:paraId="7C9B34B7">
      <w:pPr>
        <w:pageBreakBefore w:val="0"/>
        <w:kinsoku w:val="0"/>
        <w:wordWrap/>
        <w:overflowPunct/>
        <w:topLinePunct w:val="0"/>
        <w:autoSpaceDE w:val="0"/>
        <w:autoSpaceDN w:val="0"/>
        <w:bidi w:val="0"/>
        <w:adjustRightInd w:val="0"/>
        <w:snapToGrid w:val="0"/>
        <w:spacing w:before="160" w:line="282" w:lineRule="atLeast"/>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6</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4 </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在任何情况下，乙方仅对因其过错给甲方造成的直接损害结果承担赔偿责任，且该赔偿责任以实</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际损害为准，同时，乙方对下述事项不承担责任：</w:t>
      </w:r>
    </w:p>
    <w:p w14:paraId="36E498A0">
      <w:pPr>
        <w:pageBreakBefore w:val="0"/>
        <w:kinsoku w:val="0"/>
        <w:wordWrap/>
        <w:overflowPunct/>
        <w:topLinePunct w:val="0"/>
        <w:autoSpaceDE w:val="0"/>
        <w:autoSpaceDN w:val="0"/>
        <w:bidi w:val="0"/>
        <w:adjustRightInd w:val="0"/>
        <w:snapToGrid w:val="0"/>
        <w:spacing w:before="160" w:line="282" w:lineRule="atLeast"/>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1</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第三方对甲方提出的索赔要求；</w:t>
      </w:r>
    </w:p>
    <w:p w14:paraId="3D50F906">
      <w:pPr>
        <w:pageBreakBefore w:val="0"/>
        <w:kinsoku w:val="0"/>
        <w:wordWrap/>
        <w:overflowPunct/>
        <w:topLinePunct w:val="0"/>
        <w:autoSpaceDE w:val="0"/>
        <w:autoSpaceDN w:val="0"/>
        <w:bidi w:val="0"/>
        <w:adjustRightInd w:val="0"/>
        <w:snapToGrid w:val="0"/>
        <w:spacing w:before="160" w:line="282" w:lineRule="atLeast"/>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2</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甲方的记录或数据的丢失或损坏；</w:t>
      </w:r>
    </w:p>
    <w:p w14:paraId="0E4A3F1E">
      <w:pPr>
        <w:pageBreakBefore w:val="0"/>
        <w:kinsoku w:val="0"/>
        <w:wordWrap/>
        <w:overflowPunct/>
        <w:topLinePunct w:val="0"/>
        <w:autoSpaceDE w:val="0"/>
        <w:autoSpaceDN w:val="0"/>
        <w:bidi w:val="0"/>
        <w:adjustRightInd w:val="0"/>
        <w:snapToGrid w:val="0"/>
        <w:spacing w:before="160" w:line="282" w:lineRule="atLeast"/>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3</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甲方的经营损失等一切间接损失。</w:t>
      </w:r>
    </w:p>
    <w:p w14:paraId="5BA1AF8F">
      <w:pPr>
        <w:pageBreakBefore w:val="0"/>
        <w:kinsoku w:val="0"/>
        <w:wordWrap/>
        <w:overflowPunct/>
        <w:topLinePunct w:val="0"/>
        <w:autoSpaceDE w:val="0"/>
        <w:autoSpaceDN w:val="0"/>
        <w:bidi w:val="0"/>
        <w:adjustRightInd w:val="0"/>
        <w:snapToGrid w:val="0"/>
        <w:spacing w:before="160" w:line="282" w:lineRule="atLeast"/>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6.5 </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如因乙方难以避免、难以排除的技术或网络故障或第三方原因造成甲方无法使用本协议项下服务的，不视为乙方违约，但乙方应尽合理努力争取在最短时间内解决，对此双方无异议。</w:t>
      </w:r>
    </w:p>
    <w:p w14:paraId="57B8470F">
      <w:pPr>
        <w:pageBreakBefore w:val="0"/>
        <w:kinsoku w:val="0"/>
        <w:wordWrap/>
        <w:overflowPunct/>
        <w:topLinePunct w:val="0"/>
        <w:autoSpaceDE w:val="0"/>
        <w:autoSpaceDN w:val="0"/>
        <w:bidi w:val="0"/>
        <w:adjustRightInd w:val="0"/>
        <w:snapToGrid w:val="0"/>
        <w:spacing w:before="160" w:line="282" w:lineRule="atLeast"/>
        <w:rPr>
          <w:rFonts w:hint="eastAsia" w:ascii="宋体" w:hAnsi="宋体" w:eastAsia="宋体" w:cs="宋体"/>
          <w:b/>
          <w:bCs/>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bCs/>
          <w:snapToGrid/>
          <w:color w:val="000000"/>
          <w:spacing w:val="0"/>
          <w:w w:val="100"/>
          <w:position w:val="0"/>
          <w:sz w:val="19"/>
          <w:szCs w:val="19"/>
          <w:highlight w:val="none"/>
          <w:u w:val="none"/>
          <w:shd w:val="clear" w:color="auto" w:fill="auto"/>
          <w:lang w:val="en-US" w:eastAsia="zh-CN" w:bidi="zh-TW"/>
        </w:rPr>
        <w:t>第七条 隐私和通信权益保护</w:t>
      </w:r>
    </w:p>
    <w:p w14:paraId="79CC2646">
      <w:pPr>
        <w:pageBreakBefore w:val="0"/>
        <w:kinsoku w:val="0"/>
        <w:wordWrap/>
        <w:overflowPunct/>
        <w:topLinePunct w:val="0"/>
        <w:autoSpaceDE w:val="0"/>
        <w:autoSpaceDN w:val="0"/>
        <w:bidi w:val="0"/>
        <w:adjustRightInd w:val="0"/>
        <w:snapToGrid w:val="0"/>
        <w:spacing w:before="160" w:line="282" w:lineRule="atLeast"/>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7.1 甲方的通信自由和通信秘密不受侵犯，乙方对甲方的客户资料和通信信息负有保密义务。但根据法律法规规定，相关法定机关依法要求乙方提供协助和配合，乙方给予协助和配合的，不构成侵犯他人隐私权以及通信自由和通信秘密权，不构成违反保密义务。</w:t>
      </w:r>
    </w:p>
    <w:p w14:paraId="4D821752">
      <w:pPr>
        <w:pStyle w:val="5"/>
        <w:pageBreakBefore w:val="0"/>
        <w:kinsoku w:val="0"/>
        <w:wordWrap/>
        <w:overflowPunct/>
        <w:topLinePunct w:val="0"/>
        <w:autoSpaceDE w:val="0"/>
        <w:autoSpaceDN w:val="0"/>
        <w:bidi w:val="0"/>
        <w:adjustRightInd w:val="0"/>
        <w:snapToGrid w:val="0"/>
        <w:spacing w:line="282" w:lineRule="atLeast"/>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7.2 本协议涉及商业机密，甲乙双方保证不以任何形式向第三方提供或披露本协议的内容和与对方业务有关的资料及信息，由泄密而引起的损失由泄密方承担全部责任。</w:t>
      </w:r>
    </w:p>
    <w:p w14:paraId="4D7CAB9E">
      <w:pPr>
        <w:pStyle w:val="5"/>
        <w:pageBreakBefore w:val="0"/>
        <w:kinsoku w:val="0"/>
        <w:wordWrap/>
        <w:overflowPunct/>
        <w:topLinePunct w:val="0"/>
        <w:autoSpaceDE w:val="0"/>
        <w:autoSpaceDN w:val="0"/>
        <w:bidi w:val="0"/>
        <w:adjustRightInd w:val="0"/>
        <w:snapToGrid w:val="0"/>
        <w:spacing w:line="282" w:lineRule="atLeast"/>
        <w:rPr>
          <w:rFonts w:ascii="宋体" w:hAnsi="宋体" w:eastAsia="宋体" w:cs="宋体"/>
          <w:b/>
          <w:bCs/>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bCs/>
          <w:snapToGrid/>
          <w:color w:val="000000"/>
          <w:spacing w:val="0"/>
          <w:w w:val="100"/>
          <w:position w:val="0"/>
          <w:sz w:val="19"/>
          <w:szCs w:val="19"/>
          <w:highlight w:val="none"/>
          <w:u w:val="none"/>
          <w:shd w:val="clear" w:color="auto" w:fill="auto"/>
          <w:lang w:val="zh-TW" w:eastAsia="zh-TW" w:bidi="zh-TW"/>
        </w:rPr>
        <w:t>第</w:t>
      </w:r>
      <w:r>
        <w:rPr>
          <w:rFonts w:hint="eastAsia" w:ascii="宋体" w:hAnsi="宋体" w:eastAsia="宋体" w:cs="宋体"/>
          <w:b/>
          <w:bCs/>
          <w:snapToGrid/>
          <w:color w:val="000000"/>
          <w:spacing w:val="0"/>
          <w:w w:val="100"/>
          <w:position w:val="0"/>
          <w:sz w:val="19"/>
          <w:szCs w:val="19"/>
          <w:highlight w:val="none"/>
          <w:u w:val="none"/>
          <w:shd w:val="clear" w:color="auto" w:fill="auto"/>
          <w:lang w:val="en-US" w:eastAsia="zh-CN" w:bidi="zh-TW"/>
        </w:rPr>
        <w:t>八</w:t>
      </w:r>
      <w:r>
        <w:rPr>
          <w:rFonts w:hint="eastAsia" w:ascii="宋体" w:hAnsi="宋体" w:eastAsia="宋体" w:cs="宋体"/>
          <w:b/>
          <w:bCs/>
          <w:snapToGrid/>
          <w:color w:val="000000"/>
          <w:spacing w:val="0"/>
          <w:w w:val="100"/>
          <w:position w:val="0"/>
          <w:sz w:val="19"/>
          <w:szCs w:val="19"/>
          <w:highlight w:val="none"/>
          <w:u w:val="none"/>
          <w:shd w:val="clear" w:color="auto" w:fill="auto"/>
          <w:lang w:val="zh-TW" w:eastAsia="zh-TW" w:bidi="zh-TW"/>
        </w:rPr>
        <w:t>条 不可抗力及免责条款</w:t>
      </w:r>
    </w:p>
    <w:p w14:paraId="7DB32A68">
      <w:pPr>
        <w:pageBreakBefore w:val="0"/>
        <w:kinsoku w:val="0"/>
        <w:wordWrap/>
        <w:overflowPunct/>
        <w:topLinePunct w:val="0"/>
        <w:autoSpaceDE w:val="0"/>
        <w:autoSpaceDN w:val="0"/>
        <w:bidi w:val="0"/>
        <w:adjustRightInd w:val="0"/>
        <w:snapToGrid w:val="0"/>
        <w:spacing w:before="160" w:line="282" w:lineRule="atLeast"/>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8</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.1 因不可抗力致使一方</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“受阻方”</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在履行其在本协议项下的义务过程中遇到障碍或延误，不能按约定的条款全部或部分履行其义务的，不应视为违反本协议。本协议所指不可抗力，是指不能预见、不能避免并不能克服的客观情况，包括但不限于地震、洪水等自然灾害、战争及政府行为</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CN"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网络无法覆盖、停电、通信线路被第三方损坏</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。不可抗力事件终止或被排除后，受阻方应继续履行本协议，并应尽快通知另一方。受阻方应可延长履行义务的时间，延长期应相当于不可抗力事件实际造成延误的时间。</w:t>
      </w:r>
    </w:p>
    <w:p w14:paraId="7F81D9E9">
      <w:pPr>
        <w:pageBreakBefore w:val="0"/>
        <w:kinsoku w:val="0"/>
        <w:wordWrap/>
        <w:overflowPunct/>
        <w:topLinePunct w:val="0"/>
        <w:autoSpaceDE w:val="0"/>
        <w:autoSpaceDN w:val="0"/>
        <w:bidi w:val="0"/>
        <w:adjustRightInd w:val="0"/>
        <w:snapToGrid w:val="0"/>
        <w:spacing w:before="160" w:line="282" w:lineRule="atLeast"/>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8</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2 </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如果不可抗力事件的影响持续达30日或以上时，双方应根据该事件对本协议履行的影响程度协商对本协议的修改或终止。如在一方发出协商书面通知之日起1</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5</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日内双方无法就此达成一致，任何一方均有权解除本协议</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而无须</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承担违约责任。</w:t>
      </w:r>
    </w:p>
    <w:p w14:paraId="46007EC9">
      <w:pPr>
        <w:pStyle w:val="5"/>
        <w:pageBreakBefore w:val="0"/>
        <w:kinsoku w:val="0"/>
        <w:wordWrap/>
        <w:overflowPunct/>
        <w:topLinePunct w:val="0"/>
        <w:autoSpaceDE w:val="0"/>
        <w:autoSpaceDN w:val="0"/>
        <w:bidi w:val="0"/>
        <w:adjustRightInd w:val="0"/>
        <w:snapToGrid w:val="0"/>
        <w:spacing w:line="282" w:lineRule="atLeast"/>
        <w:rPr>
          <w:rFonts w:ascii="宋体" w:hAnsi="宋体" w:eastAsia="宋体" w:cs="宋体"/>
          <w:b/>
          <w:bCs/>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bCs/>
          <w:snapToGrid/>
          <w:color w:val="000000"/>
          <w:spacing w:val="0"/>
          <w:w w:val="100"/>
          <w:position w:val="0"/>
          <w:sz w:val="19"/>
          <w:szCs w:val="19"/>
          <w:highlight w:val="none"/>
          <w:u w:val="none"/>
          <w:shd w:val="clear" w:color="auto" w:fill="auto"/>
          <w:lang w:val="zh-TW" w:eastAsia="zh-TW" w:bidi="zh-TW"/>
        </w:rPr>
        <w:t>第</w:t>
      </w:r>
      <w:r>
        <w:rPr>
          <w:rFonts w:hint="eastAsia" w:ascii="宋体" w:hAnsi="宋体" w:eastAsia="宋体" w:cs="宋体"/>
          <w:b/>
          <w:bCs/>
          <w:snapToGrid/>
          <w:color w:val="000000"/>
          <w:spacing w:val="0"/>
          <w:w w:val="100"/>
          <w:position w:val="0"/>
          <w:sz w:val="19"/>
          <w:szCs w:val="19"/>
          <w:highlight w:val="none"/>
          <w:u w:val="none"/>
          <w:shd w:val="clear" w:color="auto" w:fill="auto"/>
          <w:lang w:val="en-US" w:eastAsia="zh-CN" w:bidi="zh-TW"/>
        </w:rPr>
        <w:t>九</w:t>
      </w:r>
      <w:r>
        <w:rPr>
          <w:rFonts w:hint="eastAsia" w:ascii="宋体" w:hAnsi="宋体" w:eastAsia="宋体" w:cs="宋体"/>
          <w:b/>
          <w:bCs/>
          <w:snapToGrid/>
          <w:color w:val="000000"/>
          <w:spacing w:val="0"/>
          <w:w w:val="100"/>
          <w:position w:val="0"/>
          <w:sz w:val="19"/>
          <w:szCs w:val="19"/>
          <w:highlight w:val="none"/>
          <w:u w:val="none"/>
          <w:shd w:val="clear" w:color="auto" w:fill="auto"/>
          <w:lang w:val="zh-TW" w:eastAsia="zh-TW" w:bidi="zh-TW"/>
        </w:rPr>
        <w:t>条 争议解决</w:t>
      </w:r>
    </w:p>
    <w:p w14:paraId="68005CAC">
      <w:pPr>
        <w:pageBreakBefore w:val="0"/>
        <w:kinsoku w:val="0"/>
        <w:wordWrap/>
        <w:overflowPunct/>
        <w:topLinePunct w:val="0"/>
        <w:autoSpaceDE w:val="0"/>
        <w:autoSpaceDN w:val="0"/>
        <w:bidi w:val="0"/>
        <w:adjustRightInd w:val="0"/>
        <w:snapToGrid w:val="0"/>
        <w:spacing w:before="160" w:line="282" w:lineRule="atLeast"/>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9.1 </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本协议项下发生的争议，甲乙双方应协商解决，协商不成的，双方可向</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乙方所在地</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人民法院提起诉讼。</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诉讼进行过程中，除双方有争议的部分外，本协议其他部分仍然有效，各方应继续履行。</w:t>
      </w:r>
    </w:p>
    <w:p w14:paraId="00ED1450">
      <w:pPr>
        <w:pageBreakBefore w:val="0"/>
        <w:kinsoku w:val="0"/>
        <w:wordWrap/>
        <w:overflowPunct/>
        <w:topLinePunct w:val="0"/>
        <w:autoSpaceDE w:val="0"/>
        <w:autoSpaceDN w:val="0"/>
        <w:bidi w:val="0"/>
        <w:adjustRightInd w:val="0"/>
        <w:snapToGrid w:val="0"/>
        <w:spacing w:before="160" w:line="282" w:lineRule="atLeast"/>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9</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2</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 xml:space="preserve"> </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本协议争议解决条款独立存在，本协议的变更、解除、终止或者无效，不影响本条款的效力。</w:t>
      </w:r>
    </w:p>
    <w:p w14:paraId="4B1D4D53">
      <w:pPr>
        <w:pStyle w:val="5"/>
        <w:pageBreakBefore w:val="0"/>
        <w:kinsoku w:val="0"/>
        <w:wordWrap/>
        <w:overflowPunct/>
        <w:topLinePunct w:val="0"/>
        <w:autoSpaceDE w:val="0"/>
        <w:autoSpaceDN w:val="0"/>
        <w:bidi w:val="0"/>
        <w:adjustRightInd w:val="0"/>
        <w:snapToGrid w:val="0"/>
        <w:spacing w:line="282" w:lineRule="atLeast"/>
        <w:rPr>
          <w:rFonts w:ascii="宋体" w:hAnsi="宋体" w:eastAsia="宋体" w:cs="宋体"/>
          <w:b/>
          <w:bCs/>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bCs/>
          <w:snapToGrid/>
          <w:color w:val="000000"/>
          <w:spacing w:val="0"/>
          <w:w w:val="100"/>
          <w:position w:val="0"/>
          <w:sz w:val="19"/>
          <w:szCs w:val="19"/>
          <w:highlight w:val="none"/>
          <w:u w:val="none"/>
          <w:shd w:val="clear" w:color="auto" w:fill="auto"/>
          <w:lang w:val="zh-TW" w:eastAsia="zh-TW" w:bidi="zh-TW"/>
        </w:rPr>
        <w:t>第十条 通知与送达</w:t>
      </w:r>
    </w:p>
    <w:p w14:paraId="684B35C1">
      <w:pPr>
        <w:pageBreakBefore w:val="0"/>
        <w:kinsoku w:val="0"/>
        <w:wordWrap/>
        <w:overflowPunct/>
        <w:topLinePunct w:val="0"/>
        <w:autoSpaceDE w:val="0"/>
        <w:autoSpaceDN w:val="0"/>
        <w:bidi w:val="0"/>
        <w:adjustRightInd w:val="0"/>
        <w:snapToGrid w:val="0"/>
        <w:spacing w:before="160" w:line="282" w:lineRule="atLeast"/>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10.1 </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上述书面通知发出方应按接收方在本协议中所列的地址发</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Hans" w:bidi="zh-TW"/>
        </w:rPr>
        <w:t>出</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。如双方中任何一方的地址有变更时，须在变更前10日以书面形式通知对方。因迟延通知而造成损失的，由过错方承担责任。</w:t>
      </w:r>
    </w:p>
    <w:p w14:paraId="25B2C9D8">
      <w:pPr>
        <w:pageBreakBefore w:val="0"/>
        <w:kinsoku w:val="0"/>
        <w:wordWrap/>
        <w:overflowPunct/>
        <w:topLinePunct w:val="0"/>
        <w:autoSpaceDE w:val="0"/>
        <w:autoSpaceDN w:val="0"/>
        <w:bidi w:val="0"/>
        <w:adjustRightInd w:val="0"/>
        <w:snapToGrid w:val="0"/>
        <w:spacing w:before="87" w:line="282" w:lineRule="atLeast"/>
        <w:ind w:left="22"/>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第十</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一</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条 协议的生效和终止</w:t>
      </w:r>
    </w:p>
    <w:p w14:paraId="73AC186F">
      <w:pPr>
        <w:pageBreakBefore w:val="0"/>
        <w:kinsoku w:val="0"/>
        <w:wordWrap/>
        <w:overflowPunct/>
        <w:topLinePunct w:val="0"/>
        <w:autoSpaceDE w:val="0"/>
        <w:autoSpaceDN w:val="0"/>
        <w:bidi w:val="0"/>
        <w:adjustRightInd w:val="0"/>
        <w:snapToGrid w:val="0"/>
        <w:spacing w:before="160" w:line="282" w:lineRule="atLeast"/>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11.1 本协议有效期【</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  3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】年，自</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  2025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年</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   3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月</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  1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日至</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  2028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年</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  2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月</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  29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日，期限届满后如双方无异议，合同自动续约</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  3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年，续约次数不限，若双方或任何一方，欲在本合同期满后终结本合同，应于合同届满前一个月书面通知对方。</w:t>
      </w:r>
    </w:p>
    <w:p w14:paraId="3682D703">
      <w:pPr>
        <w:pageBreakBefore w:val="0"/>
        <w:kinsoku w:val="0"/>
        <w:wordWrap/>
        <w:overflowPunct/>
        <w:topLinePunct w:val="0"/>
        <w:autoSpaceDE w:val="0"/>
        <w:autoSpaceDN w:val="0"/>
        <w:bidi w:val="0"/>
        <w:adjustRightInd w:val="0"/>
        <w:snapToGrid w:val="0"/>
        <w:spacing w:before="160" w:line="282" w:lineRule="atLeast"/>
        <w:rPr>
          <w:rFonts w:hint="default"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11.2 甲方选择季度及以上宽带包干套餐的，有效期内不能办理停止使用手续，有效期满且甲方无欠款的情况下可申请办理停止使用手续，有效期满如不办理停止使用手续，则视同甲方按上期标准继续使用宽带业务。</w:t>
      </w:r>
    </w:p>
    <w:p w14:paraId="0C28BF8D">
      <w:pPr>
        <w:pageBreakBefore w:val="0"/>
        <w:kinsoku w:val="0"/>
        <w:wordWrap/>
        <w:overflowPunct/>
        <w:topLinePunct w:val="0"/>
        <w:autoSpaceDE w:val="0"/>
        <w:autoSpaceDN w:val="0"/>
        <w:bidi w:val="0"/>
        <w:adjustRightInd w:val="0"/>
        <w:snapToGrid w:val="0"/>
        <w:spacing w:before="160" w:line="282" w:lineRule="atLeast"/>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1</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1</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3</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 xml:space="preserve"> </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合同终止后</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5日内，甲方应完整交还乙方所属网络设备，乙方核查无损的，全额无息归还甲方已缴押金</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w:t>
      </w:r>
    </w:p>
    <w:p w14:paraId="4FD2EC5C">
      <w:pPr>
        <w:pageBreakBefore w:val="0"/>
        <w:kinsoku w:val="0"/>
        <w:wordWrap/>
        <w:overflowPunct/>
        <w:topLinePunct w:val="0"/>
        <w:autoSpaceDE w:val="0"/>
        <w:autoSpaceDN w:val="0"/>
        <w:bidi w:val="0"/>
        <w:adjustRightInd w:val="0"/>
        <w:snapToGrid w:val="0"/>
        <w:spacing w:before="160" w:line="282" w:lineRule="atLeast"/>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11.4 </w:t>
      </w:r>
      <w:r>
        <w:rPr>
          <w:rFonts w:hint="default" w:ascii="宋体" w:hAnsi="宋体" w:eastAsia="宋体" w:cs="宋体"/>
          <w:b w:val="0"/>
          <w:snapToGrid/>
          <w:color w:val="000000"/>
          <w:spacing w:val="0"/>
          <w:w w:val="100"/>
          <w:position w:val="0"/>
          <w:sz w:val="19"/>
          <w:szCs w:val="19"/>
          <w:highlight w:val="none"/>
          <w:u w:val="none"/>
          <w:shd w:val="clear" w:color="auto" w:fill="auto"/>
          <w:lang w:val="zh-TW" w:eastAsia="zh-TW" w:bidi="zh-TW"/>
        </w:rPr>
        <w:t>在合同履行过程中，如甲方发生以下任一情形，乙方有权视情节严重程度采取中止或终止履行合同、解除合同等措施并不承担违约责任。如该情形导致第三方向乙方提出法律或行政程序，甲方应负责解决。如该情形给乙方损失的，甲方应全额赔偿：</w:t>
      </w:r>
    </w:p>
    <w:p w14:paraId="76078491">
      <w:pPr>
        <w:pageBreakBefore w:val="0"/>
        <w:kinsoku w:val="0"/>
        <w:wordWrap/>
        <w:overflowPunct/>
        <w:topLinePunct w:val="0"/>
        <w:autoSpaceDE w:val="0"/>
        <w:autoSpaceDN w:val="0"/>
        <w:bidi w:val="0"/>
        <w:adjustRightInd w:val="0"/>
        <w:snapToGrid w:val="0"/>
        <w:spacing w:before="160" w:line="282" w:lineRule="atLeast"/>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(1)</w:t>
      </w:r>
      <w:r>
        <w:rPr>
          <w:rFonts w:hint="default" w:ascii="宋体" w:hAnsi="宋体" w:eastAsia="宋体" w:cs="宋体"/>
          <w:b w:val="0"/>
          <w:snapToGrid/>
          <w:color w:val="000000"/>
          <w:spacing w:val="0"/>
          <w:w w:val="100"/>
          <w:position w:val="0"/>
          <w:sz w:val="19"/>
          <w:szCs w:val="19"/>
          <w:highlight w:val="none"/>
          <w:u w:val="none"/>
          <w:shd w:val="clear" w:color="auto" w:fill="auto"/>
          <w:lang w:val="zh-TW" w:eastAsia="zh-TW" w:bidi="zh-TW"/>
        </w:rPr>
        <w:t>被行政机关纳入“严重违法失信”名单。</w:t>
      </w:r>
    </w:p>
    <w:p w14:paraId="680F3197">
      <w:pPr>
        <w:pageBreakBefore w:val="0"/>
        <w:kinsoku w:val="0"/>
        <w:wordWrap/>
        <w:overflowPunct/>
        <w:topLinePunct w:val="0"/>
        <w:autoSpaceDE w:val="0"/>
        <w:autoSpaceDN w:val="0"/>
        <w:bidi w:val="0"/>
        <w:adjustRightInd w:val="0"/>
        <w:snapToGrid w:val="0"/>
        <w:spacing w:before="160" w:line="282" w:lineRule="atLeast"/>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(2)</w:t>
      </w:r>
      <w:r>
        <w:rPr>
          <w:rFonts w:hint="default" w:ascii="宋体" w:hAnsi="宋体" w:eastAsia="宋体" w:cs="宋体"/>
          <w:b w:val="0"/>
          <w:snapToGrid/>
          <w:color w:val="000000"/>
          <w:spacing w:val="0"/>
          <w:w w:val="100"/>
          <w:position w:val="0"/>
          <w:sz w:val="19"/>
          <w:szCs w:val="19"/>
          <w:highlight w:val="none"/>
          <w:u w:val="none"/>
          <w:shd w:val="clear" w:color="auto" w:fill="auto"/>
          <w:lang w:val="zh-TW" w:eastAsia="zh-TW" w:bidi="zh-TW"/>
        </w:rPr>
        <w:t>被人民法院纳入“失信被执行人”名单。</w:t>
      </w:r>
    </w:p>
    <w:p w14:paraId="009351B5">
      <w:pPr>
        <w:pageBreakBefore w:val="0"/>
        <w:kinsoku w:val="0"/>
        <w:wordWrap/>
        <w:overflowPunct/>
        <w:topLinePunct w:val="0"/>
        <w:autoSpaceDE w:val="0"/>
        <w:autoSpaceDN w:val="0"/>
        <w:bidi w:val="0"/>
        <w:adjustRightInd w:val="0"/>
        <w:snapToGrid w:val="0"/>
        <w:spacing w:before="160" w:line="282" w:lineRule="atLeast"/>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(3)</w:t>
      </w:r>
      <w:r>
        <w:rPr>
          <w:rFonts w:hint="default" w:ascii="宋体" w:hAnsi="宋体" w:eastAsia="宋体" w:cs="宋体"/>
          <w:b w:val="0"/>
          <w:snapToGrid/>
          <w:color w:val="000000"/>
          <w:spacing w:val="0"/>
          <w:w w:val="100"/>
          <w:position w:val="0"/>
          <w:sz w:val="19"/>
          <w:szCs w:val="19"/>
          <w:highlight w:val="none"/>
          <w:u w:val="none"/>
          <w:shd w:val="clear" w:color="auto" w:fill="auto"/>
          <w:lang w:val="zh-TW" w:eastAsia="zh-TW" w:bidi="zh-TW"/>
        </w:rPr>
        <w:t>被乙方（含乙方上级单位）纳入违规失信合作商名单。</w:t>
      </w:r>
    </w:p>
    <w:p w14:paraId="5570BA4D">
      <w:pPr>
        <w:pageBreakBefore w:val="0"/>
        <w:kinsoku w:val="0"/>
        <w:wordWrap/>
        <w:overflowPunct/>
        <w:topLinePunct w:val="0"/>
        <w:autoSpaceDE w:val="0"/>
        <w:autoSpaceDN w:val="0"/>
        <w:bidi w:val="0"/>
        <w:adjustRightInd w:val="0"/>
        <w:snapToGrid w:val="0"/>
        <w:spacing w:before="160" w:line="282" w:lineRule="atLeast"/>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(4)</w:t>
      </w:r>
      <w:r>
        <w:rPr>
          <w:rFonts w:hint="default" w:ascii="宋体" w:hAnsi="宋体" w:eastAsia="宋体" w:cs="宋体"/>
          <w:b w:val="0"/>
          <w:snapToGrid/>
          <w:color w:val="000000"/>
          <w:spacing w:val="0"/>
          <w:w w:val="100"/>
          <w:position w:val="0"/>
          <w:sz w:val="19"/>
          <w:szCs w:val="19"/>
          <w:highlight w:val="none"/>
          <w:u w:val="none"/>
          <w:shd w:val="clear" w:color="auto" w:fill="auto"/>
          <w:lang w:val="zh-TW" w:eastAsia="zh-TW" w:bidi="zh-TW"/>
        </w:rPr>
        <w:t>如存在网络和信息安全违法、违规行为的，包括但不限于因网络和信息安全问题承担刑事责任或受到行政处罚，被列入各级公安机关的涉通讯信息诈骗违法犯罪高危自然人或法人名单、电信业务经营不良名单、失信名单等。</w:t>
      </w:r>
    </w:p>
    <w:p w14:paraId="1C9DCD1B">
      <w:pPr>
        <w:pageBreakBefore w:val="0"/>
        <w:kinsoku w:val="0"/>
        <w:wordWrap/>
        <w:overflowPunct/>
        <w:topLinePunct w:val="0"/>
        <w:autoSpaceDE w:val="0"/>
        <w:autoSpaceDN w:val="0"/>
        <w:bidi w:val="0"/>
        <w:adjustRightInd w:val="0"/>
        <w:snapToGrid w:val="0"/>
        <w:spacing w:before="160" w:line="282" w:lineRule="atLeast"/>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(5)</w:t>
      </w:r>
      <w:r>
        <w:rPr>
          <w:rFonts w:hint="default" w:ascii="宋体" w:hAnsi="宋体" w:eastAsia="宋体" w:cs="宋体"/>
          <w:b w:val="0"/>
          <w:snapToGrid/>
          <w:color w:val="000000"/>
          <w:spacing w:val="0"/>
          <w:w w:val="100"/>
          <w:position w:val="0"/>
          <w:sz w:val="19"/>
          <w:szCs w:val="19"/>
          <w:highlight w:val="none"/>
          <w:u w:val="none"/>
          <w:shd w:val="clear" w:color="auto" w:fill="auto"/>
          <w:lang w:val="zh-TW" w:eastAsia="zh-TW" w:bidi="zh-TW"/>
        </w:rPr>
        <w:t>其他相关法律法规规定或有权机关认定的违法失信情形，以及可能导致合同履行风险或侵害乙方合法权益或声誉的违规失信情形</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CN" w:bidi="zh-TW"/>
        </w:rPr>
        <w:t>。</w:t>
      </w:r>
    </w:p>
    <w:p w14:paraId="58026901">
      <w:pPr>
        <w:pageBreakBefore w:val="0"/>
        <w:kinsoku w:val="0"/>
        <w:wordWrap/>
        <w:overflowPunct/>
        <w:topLinePunct w:val="0"/>
        <w:autoSpaceDE w:val="0"/>
        <w:autoSpaceDN w:val="0"/>
        <w:bidi w:val="0"/>
        <w:adjustRightInd w:val="0"/>
        <w:snapToGrid w:val="0"/>
        <w:spacing w:before="228" w:line="282" w:lineRule="atLeast"/>
        <w:ind w:left="12"/>
        <w:rPr>
          <w:rFonts w:ascii="宋体" w:hAnsi="宋体" w:eastAsia="宋体" w:cs="宋体"/>
          <w:b/>
          <w:bCs/>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bCs/>
          <w:snapToGrid/>
          <w:color w:val="000000"/>
          <w:spacing w:val="0"/>
          <w:w w:val="100"/>
          <w:position w:val="0"/>
          <w:sz w:val="19"/>
          <w:szCs w:val="19"/>
          <w:highlight w:val="none"/>
          <w:u w:val="none"/>
          <w:shd w:val="clear" w:color="auto" w:fill="auto"/>
          <w:lang w:val="zh-TW" w:eastAsia="zh-TW" w:bidi="zh-TW"/>
        </w:rPr>
        <w:t>第十</w:t>
      </w:r>
      <w:r>
        <w:rPr>
          <w:rFonts w:hint="eastAsia" w:ascii="宋体" w:hAnsi="宋体" w:eastAsia="宋体" w:cs="宋体"/>
          <w:b/>
          <w:bCs/>
          <w:snapToGrid/>
          <w:color w:val="000000"/>
          <w:spacing w:val="0"/>
          <w:w w:val="100"/>
          <w:position w:val="0"/>
          <w:sz w:val="19"/>
          <w:szCs w:val="19"/>
          <w:highlight w:val="none"/>
          <w:u w:val="none"/>
          <w:shd w:val="clear" w:color="auto" w:fill="auto"/>
          <w:lang w:val="en-US" w:eastAsia="zh-CN" w:bidi="zh-TW"/>
        </w:rPr>
        <w:t>二</w:t>
      </w:r>
      <w:r>
        <w:rPr>
          <w:rFonts w:hint="eastAsia" w:ascii="宋体" w:hAnsi="宋体" w:eastAsia="宋体" w:cs="宋体"/>
          <w:b/>
          <w:bCs/>
          <w:snapToGrid/>
          <w:color w:val="000000"/>
          <w:spacing w:val="0"/>
          <w:w w:val="100"/>
          <w:position w:val="0"/>
          <w:sz w:val="19"/>
          <w:szCs w:val="19"/>
          <w:highlight w:val="none"/>
          <w:u w:val="none"/>
          <w:shd w:val="clear" w:color="auto" w:fill="auto"/>
          <w:lang w:val="zh-TW" w:eastAsia="zh-TW" w:bidi="zh-TW"/>
        </w:rPr>
        <w:t>条 其他</w:t>
      </w:r>
    </w:p>
    <w:p w14:paraId="71CE7A67">
      <w:pPr>
        <w:pageBreakBefore w:val="0"/>
        <w:kinsoku w:val="0"/>
        <w:wordWrap/>
        <w:overflowPunct/>
        <w:topLinePunct w:val="0"/>
        <w:autoSpaceDE w:val="0"/>
        <w:autoSpaceDN w:val="0"/>
        <w:bidi w:val="0"/>
        <w:adjustRightInd w:val="0"/>
        <w:snapToGrid w:val="0"/>
        <w:spacing w:before="160" w:line="282" w:lineRule="atLeast"/>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1</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2</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1 </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本协议未尽事宜，甲乙双方应共同协商解决。本协议附件为本协议的组成部分，与本协议正文具有同等法律效力。如协议附件与协议正文有任何冲突，以协议正文为准。如需对本协议及其附件作任何修改或补充，须由协议双方以书面做出并经双方签署后方为有效。修改或补充文件与本协议有不一致的，以修改或补充文件为准。</w:t>
      </w:r>
    </w:p>
    <w:p w14:paraId="217282C0">
      <w:pPr>
        <w:pageBreakBefore w:val="0"/>
        <w:kinsoku w:val="0"/>
        <w:wordWrap/>
        <w:overflowPunct/>
        <w:topLinePunct w:val="0"/>
        <w:autoSpaceDE w:val="0"/>
        <w:autoSpaceDN w:val="0"/>
        <w:bidi w:val="0"/>
        <w:adjustRightInd w:val="0"/>
        <w:snapToGrid w:val="0"/>
        <w:spacing w:before="160" w:line="282" w:lineRule="atLeast"/>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12.2 </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本协议一式贰份，双方各执壹份，具有同等法律效力。本协议</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需经甲乙双方盖章或委托人</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签字</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CN"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并于宽带安装完工后</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生效。</w:t>
      </w:r>
    </w:p>
    <w:p w14:paraId="40041412">
      <w:pPr>
        <w:pageBreakBefore w:val="0"/>
        <w:kinsoku w:val="0"/>
        <w:wordWrap/>
        <w:overflowPunct/>
        <w:topLinePunct w:val="0"/>
        <w:autoSpaceDE w:val="0"/>
        <w:autoSpaceDN w:val="0"/>
        <w:bidi w:val="0"/>
        <w:adjustRightInd w:val="0"/>
        <w:snapToGrid w:val="0"/>
        <w:spacing w:before="160" w:line="282" w:lineRule="atLeast"/>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pPr>
    </w:p>
    <w:p w14:paraId="4AF8AC34">
      <w:pPr>
        <w:pageBreakBefore w:val="0"/>
        <w:kinsoku w:val="0"/>
        <w:wordWrap/>
        <w:overflowPunct/>
        <w:topLinePunct w:val="0"/>
        <w:autoSpaceDE w:val="0"/>
        <w:autoSpaceDN w:val="0"/>
        <w:bidi w:val="0"/>
        <w:adjustRightInd w:val="0"/>
        <w:snapToGrid w:val="0"/>
        <w:spacing w:before="160" w:line="282" w:lineRule="atLeast"/>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（以下无正文)</w:t>
      </w:r>
    </w:p>
    <w:p w14:paraId="3B367E27">
      <w:pPr>
        <w:pageBreakBefore w:val="0"/>
        <w:kinsoku w:val="0"/>
        <w:wordWrap/>
        <w:overflowPunct/>
        <w:topLinePunct w:val="0"/>
        <w:autoSpaceDE w:val="0"/>
        <w:autoSpaceDN w:val="0"/>
        <w:bidi w:val="0"/>
        <w:adjustRightInd w:val="0"/>
        <w:snapToGrid w:val="0"/>
        <w:spacing w:before="160" w:line="282" w:lineRule="atLeast"/>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pPr>
    </w:p>
    <w:p w14:paraId="7F09C9D0">
      <w:pPr>
        <w:pageBreakBefore w:val="0"/>
        <w:kinsoku w:val="0"/>
        <w:wordWrap/>
        <w:overflowPunct/>
        <w:topLinePunct w:val="0"/>
        <w:autoSpaceDE w:val="0"/>
        <w:autoSpaceDN w:val="0"/>
        <w:bidi w:val="0"/>
        <w:adjustRightInd w:val="0"/>
        <w:snapToGrid w:val="0"/>
        <w:spacing w:before="160" w:line="282" w:lineRule="atLeast"/>
        <w:rPr>
          <w:rFonts w:hint="default" w:ascii="宋体" w:hAnsi="宋体" w:eastAsia="宋体" w:cs="宋体"/>
          <w:b w:val="0"/>
          <w:snapToGrid/>
          <w:color w:val="000000"/>
          <w:spacing w:val="0"/>
          <w:w w:val="100"/>
          <w:position w:val="0"/>
          <w:sz w:val="19"/>
          <w:szCs w:val="19"/>
          <w:highlight w:val="none"/>
          <w:u w:val="none"/>
          <w:shd w:val="clear" w:color="auto" w:fill="auto"/>
          <w:lang w:val="en-US" w:eastAsia="zh-CN" w:bidi="zh-TW"/>
        </w:rPr>
      </w:pPr>
    </w:p>
    <w:p w14:paraId="20CBF2CC">
      <w:pPr>
        <w:pageBreakBefore w:val="0"/>
        <w:kinsoku w:val="0"/>
        <w:wordWrap/>
        <w:overflowPunct/>
        <w:topLinePunct w:val="0"/>
        <w:autoSpaceDE w:val="0"/>
        <w:autoSpaceDN w:val="0"/>
        <w:bidi w:val="0"/>
        <w:adjustRightInd w:val="0"/>
        <w:snapToGrid w:val="0"/>
        <w:spacing w:before="160" w:line="282" w:lineRule="atLeast"/>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甲方（签名或盖章）：                           乙方（盖章）：</w:t>
      </w:r>
    </w:p>
    <w:p w14:paraId="6272DCE5">
      <w:pPr>
        <w:pageBreakBefore w:val="0"/>
        <w:kinsoku w:val="0"/>
        <w:wordWrap/>
        <w:overflowPunct/>
        <w:topLinePunct w:val="0"/>
        <w:autoSpaceDE w:val="0"/>
        <w:autoSpaceDN w:val="0"/>
        <w:bidi w:val="0"/>
        <w:adjustRightInd w:val="0"/>
        <w:snapToGrid w:val="0"/>
        <w:spacing w:before="160" w:line="282" w:lineRule="atLeast"/>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证件号：                                       经办人（签名）：</w:t>
      </w:r>
    </w:p>
    <w:p w14:paraId="4C9226E1">
      <w:pPr>
        <w:pageBreakBefore w:val="0"/>
        <w:kinsoku w:val="0"/>
        <w:wordWrap/>
        <w:overflowPunct/>
        <w:topLinePunct w:val="0"/>
        <w:autoSpaceDE w:val="0"/>
        <w:autoSpaceDN w:val="0"/>
        <w:bidi w:val="0"/>
        <w:adjustRightInd w:val="0"/>
        <w:snapToGrid w:val="0"/>
        <w:spacing w:before="160" w:line="282" w:lineRule="atLeast"/>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甲方联系电话：                                 乙方联系电话：</w:t>
      </w:r>
    </w:p>
    <w:p w14:paraId="1F1CAF0C">
      <w:pPr>
        <w:pageBreakBefore w:val="0"/>
        <w:kinsoku w:val="0"/>
        <w:wordWrap/>
        <w:overflowPunct/>
        <w:topLinePunct w:val="0"/>
        <w:autoSpaceDE w:val="0"/>
        <w:autoSpaceDN w:val="0"/>
        <w:bidi w:val="0"/>
        <w:adjustRightInd w:val="0"/>
        <w:snapToGrid w:val="0"/>
        <w:spacing w:before="160" w:line="282" w:lineRule="atLeast"/>
        <w:rPr>
          <w:rFonts w:hint="default"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地址：                                         地址：</w:t>
      </w:r>
    </w:p>
    <w:p w14:paraId="131ECC51">
      <w:pPr>
        <w:pageBreakBefore w:val="0"/>
        <w:kinsoku w:val="0"/>
        <w:wordWrap/>
        <w:overflowPunct/>
        <w:topLinePunct w:val="0"/>
        <w:autoSpaceDE w:val="0"/>
        <w:autoSpaceDN w:val="0"/>
        <w:bidi w:val="0"/>
        <w:adjustRightInd w:val="0"/>
        <w:snapToGrid w:val="0"/>
        <w:spacing w:before="160" w:line="282" w:lineRule="atLeast"/>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签署日期：2025 年  2  月 24 日                    签署日期：  2025 年 2 月 24 日     </w:t>
      </w:r>
    </w:p>
    <w:p w14:paraId="6BB33E15">
      <w:pPr>
        <w:pageBreakBefore w:val="0"/>
        <w:wordWrap/>
        <w:overflowPunct/>
        <w:topLinePunct w:val="0"/>
        <w:bidi w:val="0"/>
        <w:spacing w:before="160" w:line="192" w:lineRule="auto"/>
        <w:rPr>
          <w:rFonts w:hint="eastAsia" w:ascii="宋体" w:hAnsi="宋体" w:eastAsia="宋体" w:cs="宋体"/>
          <w:b w:val="0"/>
          <w:snapToGrid/>
          <w:color w:val="000000"/>
          <w:spacing w:val="0"/>
          <w:w w:val="100"/>
          <w:position w:val="0"/>
          <w:sz w:val="19"/>
          <w:szCs w:val="19"/>
          <w:highlight w:val="none"/>
          <w:u w:val="none"/>
          <w:shd w:val="clear" w:color="auto" w:fill="auto"/>
          <w:lang w:val="zh-CN" w:eastAsia="zh-TW" w:bidi="zh-TW"/>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8FF84">
    <w:pPr>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9D4566">
                          <w:pPr>
                            <w:pStyle w:val="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429D4566">
                    <w:pPr>
                      <w:pStyle w:val="8"/>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19227">
    <w:pPr>
      <w:spacing w:before="20" w:line="223" w:lineRule="auto"/>
      <w:ind w:left="229" w:leftChars="109" w:right="20" w:firstLine="284" w:firstLineChars="195"/>
      <w:rPr>
        <w:rFonts w:hint="eastAsia" w:eastAsia="宋体"/>
        <w:sz w:val="17"/>
        <w:szCs w:val="17"/>
        <w:lang w:val="en-US" w:eastAsia="zh-CN"/>
      </w:rPr>
    </w:pPr>
    <w:r>
      <w:rPr>
        <w:rFonts w:hint="eastAsia" w:eastAsia="宋体"/>
        <w:spacing w:val="-12"/>
        <w:sz w:val="17"/>
        <w:szCs w:val="17"/>
      </w:rPr>
      <w:t xml:space="preserve">                                                                           </w:t>
    </w:r>
  </w:p>
  <w:p w14:paraId="07D83E7C">
    <w:pPr>
      <w:pStyle w:val="9"/>
      <w:pBdr>
        <w:bottom w:val="single" w:color="auto" w:sz="4"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jN2JiM2FmNDFkYjIyNzU5ZDY4OGI1MmUxMzUwNjYifQ=="/>
  </w:docVars>
  <w:rsids>
    <w:rsidRoot w:val="00172A27"/>
    <w:rsid w:val="00007E50"/>
    <w:rsid w:val="0006785E"/>
    <w:rsid w:val="000E2A7D"/>
    <w:rsid w:val="0014759D"/>
    <w:rsid w:val="00172A27"/>
    <w:rsid w:val="001744C2"/>
    <w:rsid w:val="00260404"/>
    <w:rsid w:val="00326D4F"/>
    <w:rsid w:val="003A2683"/>
    <w:rsid w:val="003F5F2A"/>
    <w:rsid w:val="004546D3"/>
    <w:rsid w:val="00492147"/>
    <w:rsid w:val="005524C4"/>
    <w:rsid w:val="005552F7"/>
    <w:rsid w:val="006D0C84"/>
    <w:rsid w:val="00906BD7"/>
    <w:rsid w:val="00923229"/>
    <w:rsid w:val="00960755"/>
    <w:rsid w:val="009D36CE"/>
    <w:rsid w:val="00AB1812"/>
    <w:rsid w:val="00AD7E79"/>
    <w:rsid w:val="00B547EA"/>
    <w:rsid w:val="00B62EA0"/>
    <w:rsid w:val="00BB435D"/>
    <w:rsid w:val="00C16281"/>
    <w:rsid w:val="00DC4052"/>
    <w:rsid w:val="00DD7D41"/>
    <w:rsid w:val="00E0248A"/>
    <w:rsid w:val="00E33600"/>
    <w:rsid w:val="00E35F8C"/>
    <w:rsid w:val="00E5663C"/>
    <w:rsid w:val="00EB7E60"/>
    <w:rsid w:val="00EF3AA2"/>
    <w:rsid w:val="00F56A0C"/>
    <w:rsid w:val="012D0479"/>
    <w:rsid w:val="012E097B"/>
    <w:rsid w:val="017C5A94"/>
    <w:rsid w:val="01B110AA"/>
    <w:rsid w:val="01BA61B0"/>
    <w:rsid w:val="02963DFC"/>
    <w:rsid w:val="02CE3596"/>
    <w:rsid w:val="03060F81"/>
    <w:rsid w:val="0328714A"/>
    <w:rsid w:val="032D650E"/>
    <w:rsid w:val="04C958A0"/>
    <w:rsid w:val="04EB48D3"/>
    <w:rsid w:val="05B80BB2"/>
    <w:rsid w:val="062E0F1B"/>
    <w:rsid w:val="066606B5"/>
    <w:rsid w:val="06EB0A9B"/>
    <w:rsid w:val="072916E2"/>
    <w:rsid w:val="08875093"/>
    <w:rsid w:val="09137F54"/>
    <w:rsid w:val="09EF451D"/>
    <w:rsid w:val="0A3C257E"/>
    <w:rsid w:val="0A4F76B2"/>
    <w:rsid w:val="0BC419DA"/>
    <w:rsid w:val="0CE151E2"/>
    <w:rsid w:val="0D295F98"/>
    <w:rsid w:val="0D2A1D10"/>
    <w:rsid w:val="0D3641C2"/>
    <w:rsid w:val="0D4903E8"/>
    <w:rsid w:val="0DA27214"/>
    <w:rsid w:val="0DC23032"/>
    <w:rsid w:val="0DCD2DC7"/>
    <w:rsid w:val="0EAC6E81"/>
    <w:rsid w:val="0EB57A4D"/>
    <w:rsid w:val="0F113188"/>
    <w:rsid w:val="0F9F2542"/>
    <w:rsid w:val="101F18D4"/>
    <w:rsid w:val="1023160A"/>
    <w:rsid w:val="10A8296D"/>
    <w:rsid w:val="11A13126"/>
    <w:rsid w:val="14972381"/>
    <w:rsid w:val="15A24B3A"/>
    <w:rsid w:val="15BD7316"/>
    <w:rsid w:val="15D1541F"/>
    <w:rsid w:val="161D2412"/>
    <w:rsid w:val="164E4CC1"/>
    <w:rsid w:val="16691404"/>
    <w:rsid w:val="171831E2"/>
    <w:rsid w:val="179901BE"/>
    <w:rsid w:val="17A10E21"/>
    <w:rsid w:val="17B46DA6"/>
    <w:rsid w:val="17FD699F"/>
    <w:rsid w:val="18131D1F"/>
    <w:rsid w:val="18253800"/>
    <w:rsid w:val="194B25F7"/>
    <w:rsid w:val="199E386A"/>
    <w:rsid w:val="19A60971"/>
    <w:rsid w:val="19C77265"/>
    <w:rsid w:val="1A6920CA"/>
    <w:rsid w:val="1A8D3EE8"/>
    <w:rsid w:val="1AC74735"/>
    <w:rsid w:val="1B776A68"/>
    <w:rsid w:val="1BB455C7"/>
    <w:rsid w:val="1C4A1A87"/>
    <w:rsid w:val="1CB6711D"/>
    <w:rsid w:val="1D2F75FB"/>
    <w:rsid w:val="1DB47B00"/>
    <w:rsid w:val="1E0565AE"/>
    <w:rsid w:val="1E6F3A27"/>
    <w:rsid w:val="1EE34802"/>
    <w:rsid w:val="1F9F033C"/>
    <w:rsid w:val="1FA92F69"/>
    <w:rsid w:val="1FA94D17"/>
    <w:rsid w:val="20250841"/>
    <w:rsid w:val="209C35CB"/>
    <w:rsid w:val="20AC0C15"/>
    <w:rsid w:val="213D7E0C"/>
    <w:rsid w:val="214B2529"/>
    <w:rsid w:val="21843D08"/>
    <w:rsid w:val="21F20BF7"/>
    <w:rsid w:val="235A4CA6"/>
    <w:rsid w:val="23810484"/>
    <w:rsid w:val="23F24EDE"/>
    <w:rsid w:val="2412732E"/>
    <w:rsid w:val="26461511"/>
    <w:rsid w:val="271138CD"/>
    <w:rsid w:val="27E014F2"/>
    <w:rsid w:val="27F92ABE"/>
    <w:rsid w:val="292C2C40"/>
    <w:rsid w:val="29581C87"/>
    <w:rsid w:val="299A22A0"/>
    <w:rsid w:val="2A6E79AD"/>
    <w:rsid w:val="2A9B0899"/>
    <w:rsid w:val="2AA47A39"/>
    <w:rsid w:val="2BF13CCD"/>
    <w:rsid w:val="2C9805ED"/>
    <w:rsid w:val="2CC118F2"/>
    <w:rsid w:val="2D1B36F8"/>
    <w:rsid w:val="2D2307FE"/>
    <w:rsid w:val="2D4A7B39"/>
    <w:rsid w:val="2D785FEF"/>
    <w:rsid w:val="2D9D767E"/>
    <w:rsid w:val="2DF81343"/>
    <w:rsid w:val="2DFF6B75"/>
    <w:rsid w:val="2E1B3283"/>
    <w:rsid w:val="2EF835C5"/>
    <w:rsid w:val="2FC736C3"/>
    <w:rsid w:val="2FFF91F7"/>
    <w:rsid w:val="30F85652"/>
    <w:rsid w:val="315C7E3B"/>
    <w:rsid w:val="32065222"/>
    <w:rsid w:val="332F429B"/>
    <w:rsid w:val="3350577D"/>
    <w:rsid w:val="337376BE"/>
    <w:rsid w:val="33D22636"/>
    <w:rsid w:val="33EA3E24"/>
    <w:rsid w:val="3522139B"/>
    <w:rsid w:val="353F1F4D"/>
    <w:rsid w:val="3546508A"/>
    <w:rsid w:val="36745C27"/>
    <w:rsid w:val="36AF4FB7"/>
    <w:rsid w:val="378D51F2"/>
    <w:rsid w:val="37A83DDA"/>
    <w:rsid w:val="37DB39DE"/>
    <w:rsid w:val="3977484B"/>
    <w:rsid w:val="3B0752BB"/>
    <w:rsid w:val="3B2319C9"/>
    <w:rsid w:val="3B7F1C4D"/>
    <w:rsid w:val="3BF60F2C"/>
    <w:rsid w:val="3BF9842B"/>
    <w:rsid w:val="3C3F3829"/>
    <w:rsid w:val="3DC3665C"/>
    <w:rsid w:val="3DFC4E7F"/>
    <w:rsid w:val="3E353EED"/>
    <w:rsid w:val="3E810EE1"/>
    <w:rsid w:val="3F7E86C1"/>
    <w:rsid w:val="3FFF1F49"/>
    <w:rsid w:val="402B37FA"/>
    <w:rsid w:val="422E75D1"/>
    <w:rsid w:val="423F17DF"/>
    <w:rsid w:val="449B0318"/>
    <w:rsid w:val="44F85C75"/>
    <w:rsid w:val="463A4797"/>
    <w:rsid w:val="46B01DAB"/>
    <w:rsid w:val="46D36999"/>
    <w:rsid w:val="47264D1B"/>
    <w:rsid w:val="4792415F"/>
    <w:rsid w:val="479C322F"/>
    <w:rsid w:val="47C337F0"/>
    <w:rsid w:val="483D231C"/>
    <w:rsid w:val="495A5150"/>
    <w:rsid w:val="4A376BC0"/>
    <w:rsid w:val="4A987B92"/>
    <w:rsid w:val="4AFEAC6C"/>
    <w:rsid w:val="4B0B04B0"/>
    <w:rsid w:val="4B751DCD"/>
    <w:rsid w:val="4C4D2D4A"/>
    <w:rsid w:val="4CB014BE"/>
    <w:rsid w:val="4D21045F"/>
    <w:rsid w:val="4D8F1F93"/>
    <w:rsid w:val="4DBA61BD"/>
    <w:rsid w:val="4E3C4E24"/>
    <w:rsid w:val="4EC33F0B"/>
    <w:rsid w:val="4EC512BE"/>
    <w:rsid w:val="4EC70B92"/>
    <w:rsid w:val="4FFB7C1B"/>
    <w:rsid w:val="5052526E"/>
    <w:rsid w:val="507459A7"/>
    <w:rsid w:val="52842A3D"/>
    <w:rsid w:val="52BF714B"/>
    <w:rsid w:val="52CD0741"/>
    <w:rsid w:val="5367702B"/>
    <w:rsid w:val="53EE6BC1"/>
    <w:rsid w:val="541C372E"/>
    <w:rsid w:val="54C2028E"/>
    <w:rsid w:val="55872E29"/>
    <w:rsid w:val="55FF3F8B"/>
    <w:rsid w:val="56B654FB"/>
    <w:rsid w:val="56D16811"/>
    <w:rsid w:val="5774425C"/>
    <w:rsid w:val="57EC1669"/>
    <w:rsid w:val="582B63FB"/>
    <w:rsid w:val="5889510A"/>
    <w:rsid w:val="58AC2BA6"/>
    <w:rsid w:val="58E467E4"/>
    <w:rsid w:val="5937711B"/>
    <w:rsid w:val="59D36714"/>
    <w:rsid w:val="5A5A6D5E"/>
    <w:rsid w:val="5A8E2EAB"/>
    <w:rsid w:val="5AAC3332"/>
    <w:rsid w:val="5AF2367F"/>
    <w:rsid w:val="5BD8425B"/>
    <w:rsid w:val="5C98591B"/>
    <w:rsid w:val="5D3F8755"/>
    <w:rsid w:val="5DC264F3"/>
    <w:rsid w:val="5E0A2849"/>
    <w:rsid w:val="5EBFF1A8"/>
    <w:rsid w:val="5F4678B1"/>
    <w:rsid w:val="5F8D54E0"/>
    <w:rsid w:val="5FD90725"/>
    <w:rsid w:val="5FE1582B"/>
    <w:rsid w:val="600C564B"/>
    <w:rsid w:val="602816AC"/>
    <w:rsid w:val="60AC408B"/>
    <w:rsid w:val="618172C6"/>
    <w:rsid w:val="63984453"/>
    <w:rsid w:val="63B53257"/>
    <w:rsid w:val="646F1658"/>
    <w:rsid w:val="648570CD"/>
    <w:rsid w:val="64B01EFF"/>
    <w:rsid w:val="64C75092"/>
    <w:rsid w:val="64FFDC26"/>
    <w:rsid w:val="65401246"/>
    <w:rsid w:val="656860B9"/>
    <w:rsid w:val="65B732B6"/>
    <w:rsid w:val="65E61A42"/>
    <w:rsid w:val="667E3DD4"/>
    <w:rsid w:val="66D460EA"/>
    <w:rsid w:val="66E3718F"/>
    <w:rsid w:val="67140294"/>
    <w:rsid w:val="67874F0A"/>
    <w:rsid w:val="679B5075"/>
    <w:rsid w:val="68CD2DF1"/>
    <w:rsid w:val="690C7DD2"/>
    <w:rsid w:val="691C3A21"/>
    <w:rsid w:val="69413021"/>
    <w:rsid w:val="69794D27"/>
    <w:rsid w:val="69A04061"/>
    <w:rsid w:val="69CF4947"/>
    <w:rsid w:val="6A37961C"/>
    <w:rsid w:val="6A88588B"/>
    <w:rsid w:val="6A976B6E"/>
    <w:rsid w:val="6C006779"/>
    <w:rsid w:val="6C376EFF"/>
    <w:rsid w:val="6C8D4D71"/>
    <w:rsid w:val="6E05302D"/>
    <w:rsid w:val="6E1D2124"/>
    <w:rsid w:val="6E4476B1"/>
    <w:rsid w:val="6EDF562C"/>
    <w:rsid w:val="6F8D32DA"/>
    <w:rsid w:val="6FA83C70"/>
    <w:rsid w:val="70622071"/>
    <w:rsid w:val="70941D13"/>
    <w:rsid w:val="7097427D"/>
    <w:rsid w:val="70A95EF1"/>
    <w:rsid w:val="70D171F6"/>
    <w:rsid w:val="71B36765"/>
    <w:rsid w:val="729606F7"/>
    <w:rsid w:val="72B648F6"/>
    <w:rsid w:val="736F3422"/>
    <w:rsid w:val="746A5998"/>
    <w:rsid w:val="75CFE7A6"/>
    <w:rsid w:val="760A11E0"/>
    <w:rsid w:val="765B1A3C"/>
    <w:rsid w:val="77163BB5"/>
    <w:rsid w:val="79A92036"/>
    <w:rsid w:val="79F429C9"/>
    <w:rsid w:val="7A044703"/>
    <w:rsid w:val="7ADCDB5F"/>
    <w:rsid w:val="7AE77D42"/>
    <w:rsid w:val="7AF82523"/>
    <w:rsid w:val="7B6751F7"/>
    <w:rsid w:val="7B979E8C"/>
    <w:rsid w:val="7BB265A2"/>
    <w:rsid w:val="7BC71922"/>
    <w:rsid w:val="7BEE88C5"/>
    <w:rsid w:val="7DDD8B22"/>
    <w:rsid w:val="7DF2712A"/>
    <w:rsid w:val="7E5162FA"/>
    <w:rsid w:val="7EAE5F62"/>
    <w:rsid w:val="7FDAF049"/>
    <w:rsid w:val="7FDF87B4"/>
    <w:rsid w:val="7FFE9150"/>
    <w:rsid w:val="95FDCFB9"/>
    <w:rsid w:val="AB7DE132"/>
    <w:rsid w:val="B377940C"/>
    <w:rsid w:val="B77F0335"/>
    <w:rsid w:val="B7FBD326"/>
    <w:rsid w:val="BFFF3426"/>
    <w:rsid w:val="C6771DBD"/>
    <w:rsid w:val="C71E804F"/>
    <w:rsid w:val="CDEAC7F5"/>
    <w:rsid w:val="CEB98D2E"/>
    <w:rsid w:val="D1E76C0D"/>
    <w:rsid w:val="D5BF33BD"/>
    <w:rsid w:val="DFDF7D10"/>
    <w:rsid w:val="EDFF6207"/>
    <w:rsid w:val="F75F84C0"/>
    <w:rsid w:val="F8BF99FA"/>
    <w:rsid w:val="FF385A8D"/>
    <w:rsid w:val="FFC39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4"/>
    <w:basedOn w:val="1"/>
    <w:next w:val="1"/>
    <w:unhideWhenUsed/>
    <w:qFormat/>
    <w:uiPriority w:val="0"/>
    <w:pPr>
      <w:keepNext/>
      <w:keepLines/>
      <w:spacing w:before="280" w:after="290" w:line="372" w:lineRule="auto"/>
      <w:outlineLvl w:val="3"/>
    </w:pPr>
    <w:rPr>
      <w:rFonts w:eastAsia="黑体"/>
      <w:b/>
      <w:sz w:val="28"/>
    </w:rPr>
  </w:style>
  <w:style w:type="paragraph" w:styleId="4">
    <w:name w:val="heading 5"/>
    <w:basedOn w:val="1"/>
    <w:next w:val="1"/>
    <w:unhideWhenUsed/>
    <w:qFormat/>
    <w:uiPriority w:val="0"/>
    <w:pPr>
      <w:keepNext/>
      <w:keepLines/>
      <w:spacing w:before="280" w:after="290" w:line="372" w:lineRule="auto"/>
      <w:outlineLvl w:val="4"/>
    </w:pPr>
    <w:rPr>
      <w:b/>
      <w:sz w:val="28"/>
    </w:rPr>
  </w:style>
  <w:style w:type="paragraph" w:styleId="5">
    <w:name w:val="heading 6"/>
    <w:basedOn w:val="1"/>
    <w:next w:val="1"/>
    <w:unhideWhenUsed/>
    <w:qFormat/>
    <w:uiPriority w:val="0"/>
    <w:pPr>
      <w:keepNext/>
      <w:keepLines/>
      <w:spacing w:before="240" w:after="64" w:line="317" w:lineRule="auto"/>
      <w:outlineLvl w:val="5"/>
    </w:pPr>
    <w:rPr>
      <w:rFonts w:eastAsia="黑体"/>
      <w:b/>
      <w:sz w:val="24"/>
    </w:rPr>
  </w:style>
  <w:style w:type="character" w:default="1" w:styleId="14">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annotation text"/>
    <w:basedOn w:val="1"/>
    <w:link w:val="20"/>
    <w:qFormat/>
    <w:uiPriority w:val="0"/>
  </w:style>
  <w:style w:type="paragraph" w:styleId="7">
    <w:name w:val="Balloon Text"/>
    <w:basedOn w:val="1"/>
    <w:link w:val="22"/>
    <w:qFormat/>
    <w:uiPriority w:val="0"/>
    <w:rPr>
      <w:sz w:val="18"/>
      <w:szCs w:val="18"/>
    </w:rPr>
  </w:style>
  <w:style w:type="paragraph" w:styleId="8">
    <w:name w:val="footer"/>
    <w:basedOn w:val="1"/>
    <w:qFormat/>
    <w:uiPriority w:val="0"/>
    <w:pPr>
      <w:tabs>
        <w:tab w:val="center" w:pos="4153"/>
        <w:tab w:val="right" w:pos="8306"/>
      </w:tabs>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0">
    <w:name w:val="Normal (Web)"/>
    <w:basedOn w:val="1"/>
    <w:unhideWhenUsed/>
    <w:qFormat/>
    <w:uiPriority w:val="99"/>
    <w:pPr>
      <w:widowControl/>
      <w:spacing w:before="100" w:beforeAutospacing="1" w:after="100" w:afterAutospacing="1"/>
      <w:jc w:val="left"/>
    </w:pPr>
    <w:rPr>
      <w:rFonts w:eastAsiaTheme="minorEastAsia"/>
      <w:kern w:val="0"/>
      <w:sz w:val="24"/>
    </w:rPr>
  </w:style>
  <w:style w:type="paragraph" w:styleId="11">
    <w:name w:val="annotation subject"/>
    <w:basedOn w:val="6"/>
    <w:next w:val="6"/>
    <w:link w:val="21"/>
    <w:qFormat/>
    <w:uiPriority w:val="0"/>
    <w:rPr>
      <w:b/>
      <w:bCs/>
    </w:rPr>
  </w:style>
  <w:style w:type="table" w:styleId="13">
    <w:name w:val="Table Grid"/>
    <w:basedOn w:val="12"/>
    <w:qFormat/>
    <w:uiPriority w:val="5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5">
    <w:name w:val="page number"/>
    <w:basedOn w:val="14"/>
    <w:semiHidden/>
    <w:unhideWhenUsed/>
    <w:qFormat/>
    <w:uiPriority w:val="99"/>
  </w:style>
  <w:style w:type="character" w:styleId="16">
    <w:name w:val="annotation reference"/>
    <w:basedOn w:val="14"/>
    <w:qFormat/>
    <w:uiPriority w:val="0"/>
    <w:rPr>
      <w:sz w:val="21"/>
      <w:szCs w:val="21"/>
    </w:rPr>
  </w:style>
  <w:style w:type="table" w:customStyle="1" w:styleId="17">
    <w:name w:val="Table Normal"/>
    <w:semiHidden/>
    <w:unhideWhenUsed/>
    <w:qFormat/>
    <w:uiPriority w:val="0"/>
    <w:tblPr>
      <w:tblCellMar>
        <w:top w:w="0" w:type="dxa"/>
        <w:left w:w="0" w:type="dxa"/>
        <w:bottom w:w="0" w:type="dxa"/>
        <w:right w:w="0" w:type="dxa"/>
      </w:tblCellMar>
    </w:tblPr>
  </w:style>
  <w:style w:type="character" w:customStyle="1" w:styleId="18">
    <w:name w:val="font21"/>
    <w:basedOn w:val="14"/>
    <w:qFormat/>
    <w:uiPriority w:val="0"/>
    <w:rPr>
      <w:rFonts w:hint="eastAsia" w:ascii="宋体" w:hAnsi="宋体" w:eastAsia="宋体" w:cs="宋体"/>
      <w:color w:val="000000"/>
      <w:sz w:val="19"/>
      <w:szCs w:val="19"/>
      <w:u w:val="none"/>
    </w:rPr>
  </w:style>
  <w:style w:type="character" w:customStyle="1" w:styleId="19">
    <w:name w:val="font11"/>
    <w:basedOn w:val="14"/>
    <w:qFormat/>
    <w:uiPriority w:val="0"/>
    <w:rPr>
      <w:rFonts w:hint="eastAsia" w:ascii="宋体" w:hAnsi="宋体" w:eastAsia="宋体" w:cs="宋体"/>
      <w:color w:val="000000"/>
      <w:sz w:val="22"/>
      <w:szCs w:val="22"/>
      <w:u w:val="none"/>
    </w:rPr>
  </w:style>
  <w:style w:type="character" w:customStyle="1" w:styleId="20">
    <w:name w:val="批注文字 Char"/>
    <w:basedOn w:val="14"/>
    <w:link w:val="6"/>
    <w:qFormat/>
    <w:uiPriority w:val="0"/>
    <w:rPr>
      <w:rFonts w:ascii="Arial" w:hAnsi="Arial" w:eastAsia="Arial" w:cs="Arial"/>
      <w:snapToGrid w:val="0"/>
      <w:color w:val="000000"/>
      <w:sz w:val="21"/>
      <w:szCs w:val="21"/>
    </w:rPr>
  </w:style>
  <w:style w:type="character" w:customStyle="1" w:styleId="21">
    <w:name w:val="批注主题 Char"/>
    <w:basedOn w:val="20"/>
    <w:link w:val="11"/>
    <w:qFormat/>
    <w:uiPriority w:val="0"/>
    <w:rPr>
      <w:rFonts w:ascii="Arial" w:hAnsi="Arial" w:eastAsia="Arial" w:cs="Arial"/>
      <w:b/>
      <w:bCs/>
      <w:snapToGrid w:val="0"/>
      <w:color w:val="000000"/>
      <w:sz w:val="21"/>
      <w:szCs w:val="21"/>
    </w:rPr>
  </w:style>
  <w:style w:type="character" w:customStyle="1" w:styleId="22">
    <w:name w:val="批注框文本 Char"/>
    <w:basedOn w:val="14"/>
    <w:link w:val="7"/>
    <w:qFormat/>
    <w:uiPriority w:val="0"/>
    <w:rPr>
      <w:rFonts w:ascii="Arial" w:hAnsi="Arial" w:eastAsia="Arial" w:cs="Arial"/>
      <w:snapToGrid w:val="0"/>
      <w:color w:val="000000"/>
      <w:sz w:val="18"/>
      <w:szCs w:val="18"/>
    </w:rPr>
  </w:style>
  <w:style w:type="paragraph" w:customStyle="1" w:styleId="23">
    <w:name w:val="p"/>
    <w:basedOn w:val="1"/>
    <w:qFormat/>
    <w:uiPriority w:val="0"/>
  </w:style>
  <w:style w:type="paragraph" w:customStyle="1" w:styleId="24">
    <w:name w:val="Body text|1"/>
    <w:basedOn w:val="1"/>
    <w:qFormat/>
    <w:uiPriority w:val="0"/>
    <w:pPr>
      <w:widowControl w:val="0"/>
      <w:shd w:val="clear" w:color="auto" w:fill="auto"/>
      <w:spacing w:line="312" w:lineRule="auto"/>
    </w:pPr>
    <w:rPr>
      <w:rFonts w:ascii="宋体" w:hAnsi="宋体" w:eastAsia="宋体" w:cs="宋体"/>
      <w:sz w:val="19"/>
      <w:szCs w:val="19"/>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5034</Words>
  <Characters>5235</Characters>
  <Lines>1</Lines>
  <Paragraphs>1</Paragraphs>
  <TotalTime>49</TotalTime>
  <ScaleCrop>false</ScaleCrop>
  <LinksUpToDate>false</LinksUpToDate>
  <CharactersWithSpaces>5861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2023-09-21T12:54:00Z</dcterms:created>
  <dc:creator>swan song</dc:creator>
  <cp:lastModifiedBy>地_訫</cp:lastModifiedBy>
  <dcterms:modified xsi:type="dcterms:W3CDTF">2025-02-25T04:13:36Z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A422DA5E2C3A45ACAEFBEAB0B98C983C_13</vt:lpwstr>
  </property>
  <property fmtid="{D5CDD505-2E9C-101B-9397-08002B2CF9AE}" pid="4" name="KSOTemplateDocerSaveRecord">
    <vt:lpwstr>eyJoZGlkIjoiZWQ0ODdmYjgyY2ViOGFjZDU5ZjYwNmVlNmQ1NDcwOWYiLCJ1c2VySWQiOiIzMzE3MDI2MjQifQ==</vt:lpwstr>
  </property>
</Properties>
</file>