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69D27">
      <w:pPr>
        <w:widowControl w:val="0"/>
        <w:kinsoku/>
        <w:autoSpaceDE/>
        <w:autoSpaceDN/>
        <w:adjustRightInd/>
        <w:snapToGrid/>
        <w:spacing w:line="360" w:lineRule="auto"/>
        <w:ind w:firstLine="420" w:firstLineChars="200"/>
        <w:jc w:val="center"/>
        <w:textAlignment w:val="auto"/>
        <w:rPr>
          <w:rFonts w:ascii="Times New Roman" w:hAnsi="Times New Roman" w:eastAsia="宋体" w:cs="Calibri"/>
          <w:snapToGrid/>
          <w:kern w:val="2"/>
        </w:rPr>
      </w:pPr>
      <w:r>
        <w:rPr>
          <w:rFonts w:hint="eastAsia" w:ascii="Times New Roman" w:hAnsi="Times New Roman" w:eastAsia="宋体" w:cs="Calibri"/>
          <w:snapToGrid/>
          <w:kern w:val="2"/>
          <w:lang w:val="en-US" w:eastAsia="zh-CN"/>
        </w:rPr>
        <w:t xml:space="preserve">                                        </w:t>
      </w:r>
      <w:r>
        <w:rPr>
          <w:rFonts w:hint="eastAsia" w:ascii="Times New Roman" w:hAnsi="Times New Roman" w:eastAsia="宋体" w:cs="Calibri"/>
          <w:snapToGrid/>
          <w:kern w:val="2"/>
        </w:rPr>
        <w:t xml:space="preserve"> 甲方合同编号：</w:t>
      </w:r>
      <w:r>
        <w:rPr>
          <w:rFonts w:hint="eastAsia" w:ascii="ˎ̥" w:hAnsi="ˎ̥" w:eastAsia="宋体" w:cs="Calibri"/>
          <w:snapToGrid/>
          <w:kern w:val="2"/>
          <w:sz w:val="18"/>
          <w:szCs w:val="18"/>
        </w:rPr>
        <w:t xml:space="preserve">  </w:t>
      </w:r>
    </w:p>
    <w:p w14:paraId="2B62C079">
      <w:pPr>
        <w:widowControl w:val="0"/>
        <w:kinsoku/>
        <w:autoSpaceDE/>
        <w:autoSpaceDN/>
        <w:adjustRightInd w:val="0"/>
        <w:snapToGrid w:val="0"/>
        <w:spacing w:line="360" w:lineRule="auto"/>
        <w:ind w:right="-153" w:rightChars="-73" w:firstLine="0" w:firstLineChars="0"/>
        <w:jc w:val="both"/>
        <w:textAlignment w:val="auto"/>
        <w:rPr>
          <w:rFonts w:hint="default" w:ascii="宋体" w:hAnsi="宋体" w:eastAsia="宋体" w:cs="宋体"/>
          <w:sz w:val="36"/>
          <w:szCs w:val="36"/>
          <w:lang w:val="en-US" w:eastAsia="zh-CN"/>
        </w:rPr>
      </w:pPr>
      <w:r>
        <w:rPr>
          <w:rFonts w:hint="eastAsia" w:ascii="Times New Roman" w:hAnsi="Times New Roman" w:eastAsia="宋体" w:cs="Calibri"/>
          <w:snapToGrid/>
          <w:kern w:val="2"/>
        </w:rPr>
        <w:t xml:space="preserve">                                                       乙方合同编号</w:t>
      </w:r>
      <w:r>
        <w:rPr>
          <w:rFonts w:hint="eastAsia" w:ascii="宋体" w:hAnsi="宋体" w:eastAsia="宋体" w:cs="Calibri"/>
          <w:snapToGrid/>
          <w:kern w:val="2"/>
        </w:rPr>
        <w:t>：</w:t>
      </w:r>
    </w:p>
    <w:p w14:paraId="6D955190">
      <w:pPr>
        <w:pStyle w:val="2"/>
        <w:pageBreakBefore w:val="0"/>
        <w:kinsoku/>
        <w:wordWrap/>
        <w:overflowPunct/>
        <w:topLinePunct w:val="0"/>
        <w:autoSpaceDE/>
        <w:autoSpaceDN/>
        <w:bidi w:val="0"/>
        <w:adjustRightInd/>
        <w:snapToGrid/>
        <w:spacing w:before="0" w:after="0" w:line="192" w:lineRule="auto"/>
        <w:jc w:val="center"/>
        <w:rPr>
          <w:rFonts w:ascii="宋体" w:hAnsi="宋体" w:eastAsia="宋体" w:cs="宋体"/>
          <w:sz w:val="36"/>
          <w:szCs w:val="36"/>
        </w:rPr>
      </w:pPr>
      <w:r>
        <w:rPr>
          <w:rFonts w:hint="eastAsia" w:ascii="宋体" w:hAnsi="宋体" w:eastAsia="宋体" w:cs="宋体"/>
          <w:sz w:val="36"/>
          <w:szCs w:val="36"/>
          <w:lang w:val="en-US" w:eastAsia="zh-CN"/>
        </w:rPr>
        <w:t>企业</w:t>
      </w:r>
      <w:r>
        <w:rPr>
          <w:rFonts w:hint="eastAsia" w:ascii="宋体" w:hAnsi="宋体" w:eastAsia="宋体" w:cs="宋体"/>
          <w:sz w:val="36"/>
          <w:szCs w:val="36"/>
        </w:rPr>
        <w:t>宽带</w:t>
      </w:r>
      <w:r>
        <w:rPr>
          <w:rFonts w:hint="eastAsia" w:ascii="宋体" w:hAnsi="宋体" w:eastAsia="宋体" w:cs="宋体"/>
          <w:sz w:val="36"/>
          <w:szCs w:val="36"/>
          <w:lang w:val="en-US" w:eastAsia="zh-CN"/>
        </w:rPr>
        <w:t>业务</w:t>
      </w:r>
      <w:r>
        <w:rPr>
          <w:rFonts w:hint="eastAsia" w:ascii="宋体" w:hAnsi="宋体" w:eastAsia="宋体" w:cs="宋体"/>
          <w:sz w:val="36"/>
          <w:szCs w:val="36"/>
        </w:rPr>
        <w:t>服务协议</w:t>
      </w:r>
    </w:p>
    <w:p w14:paraId="1E9AD94E">
      <w:pPr>
        <w:pageBreakBefore w:val="0"/>
        <w:kinsoku w:val="0"/>
        <w:wordWrap/>
        <w:overflowPunct/>
        <w:topLinePunct w:val="0"/>
        <w:autoSpaceDE w:val="0"/>
        <w:autoSpaceDN w:val="0"/>
        <w:bidi w:val="0"/>
        <w:adjustRightInd w:val="0"/>
        <w:snapToGrid w:val="0"/>
        <w:spacing w:before="167" w:line="282" w:lineRule="atLeast"/>
        <w:ind w:left="2" w:firstLine="389" w:firstLineChars="200"/>
        <w:jc w:val="both"/>
        <w:rPr>
          <w:rFonts w:ascii="宋体" w:hAnsi="宋体" w:eastAsia="宋体" w:cs="宋体"/>
          <w:spacing w:val="2"/>
          <w:sz w:val="18"/>
          <w:szCs w:val="18"/>
        </w:rPr>
      </w:pPr>
      <w:r>
        <w:rPr>
          <w:rFonts w:ascii="宋体" w:hAnsi="宋体" w:eastAsia="宋体" w:cs="宋体"/>
          <w:b/>
          <w:bCs/>
          <w:spacing w:val="7"/>
          <w:sz w:val="18"/>
          <w:szCs w:val="18"/>
        </w:rPr>
        <w:t>甲</w:t>
      </w:r>
      <w:r>
        <w:rPr>
          <w:rFonts w:hint="eastAsia" w:ascii="宋体" w:hAnsi="宋体" w:eastAsia="宋体" w:cs="宋体"/>
          <w:b/>
          <w:bCs/>
          <w:spacing w:val="7"/>
          <w:sz w:val="18"/>
          <w:szCs w:val="18"/>
        </w:rPr>
        <w:t xml:space="preserve"> </w:t>
      </w:r>
      <w:r>
        <w:rPr>
          <w:rFonts w:ascii="宋体" w:hAnsi="宋体" w:eastAsia="宋体" w:cs="宋体"/>
          <w:b/>
          <w:bCs/>
          <w:spacing w:val="7"/>
          <w:sz w:val="18"/>
          <w:szCs w:val="18"/>
        </w:rPr>
        <w:t>方：</w:t>
      </w:r>
      <w:r>
        <w:rPr>
          <w:rFonts w:hint="eastAsia" w:ascii="宋体" w:hAnsi="宋体" w:eastAsia="宋体" w:cs="宋体"/>
          <w:b/>
          <w:bCs/>
          <w:spacing w:val="7"/>
          <w:sz w:val="18"/>
          <w:szCs w:val="18"/>
        </w:rPr>
        <w:t>广东鼎晟达技术有限公司</w:t>
      </w:r>
      <w:r>
        <w:rPr>
          <w:rFonts w:hint="eastAsia" w:ascii="宋体" w:hAnsi="宋体" w:eastAsia="宋体" w:cs="宋体"/>
          <w:spacing w:val="2"/>
          <w:sz w:val="18"/>
          <w:szCs w:val="18"/>
        </w:rPr>
        <w:t xml:space="preserve"> </w:t>
      </w:r>
    </w:p>
    <w:p w14:paraId="2FF02FAA">
      <w:pPr>
        <w:pageBreakBefore w:val="0"/>
        <w:kinsoku w:val="0"/>
        <w:wordWrap/>
        <w:overflowPunct/>
        <w:topLinePunct w:val="0"/>
        <w:autoSpaceDE w:val="0"/>
        <w:autoSpaceDN w:val="0"/>
        <w:bidi w:val="0"/>
        <w:adjustRightInd w:val="0"/>
        <w:snapToGrid w:val="0"/>
        <w:spacing w:before="167" w:line="282" w:lineRule="atLeast"/>
        <w:ind w:left="2"/>
        <w:jc w:val="both"/>
        <w:rPr>
          <w:rFonts w:ascii="宋体" w:hAnsi="宋体" w:eastAsia="宋体" w:cs="宋体"/>
          <w:sz w:val="17"/>
          <w:szCs w:val="17"/>
        </w:rPr>
      </w:pPr>
      <w:r>
        <w:rPr>
          <w:rFonts w:hint="eastAsia" w:ascii="宋体" w:hAnsi="宋体" w:eastAsia="宋体" w:cs="宋体"/>
          <w:spacing w:val="2"/>
          <w:sz w:val="18"/>
          <w:szCs w:val="18"/>
        </w:rPr>
        <w:t xml:space="preserve">    </w:t>
      </w:r>
      <w:r>
        <w:rPr>
          <w:rFonts w:ascii="宋体" w:hAnsi="宋体" w:eastAsia="宋体" w:cs="宋体"/>
          <w:b/>
          <w:bCs/>
          <w:spacing w:val="7"/>
          <w:sz w:val="18"/>
          <w:szCs w:val="18"/>
        </w:rPr>
        <w:t>乙</w:t>
      </w:r>
      <w:r>
        <w:rPr>
          <w:rFonts w:hint="eastAsia" w:ascii="宋体" w:hAnsi="宋体" w:eastAsia="宋体" w:cs="宋体"/>
          <w:b/>
          <w:bCs/>
          <w:spacing w:val="7"/>
          <w:sz w:val="18"/>
          <w:szCs w:val="18"/>
        </w:rPr>
        <w:t xml:space="preserve"> </w:t>
      </w:r>
      <w:r>
        <w:rPr>
          <w:rFonts w:ascii="宋体" w:hAnsi="宋体" w:eastAsia="宋体" w:cs="宋体"/>
          <w:b/>
          <w:bCs/>
          <w:spacing w:val="7"/>
          <w:sz w:val="18"/>
          <w:szCs w:val="18"/>
        </w:rPr>
        <w:t>方：</w:t>
      </w:r>
      <w:r>
        <w:rPr>
          <w:rFonts w:hint="eastAsia" w:ascii="宋体" w:hAnsi="宋体" w:eastAsia="宋体" w:cs="宋体"/>
          <w:b/>
          <w:bCs/>
          <w:spacing w:val="7"/>
          <w:sz w:val="18"/>
          <w:szCs w:val="18"/>
        </w:rPr>
        <w:t>浙江翼扬网络科技有限公司</w:t>
      </w:r>
    </w:p>
    <w:p w14:paraId="7FC9BF8B">
      <w:pPr>
        <w:pStyle w:val="5"/>
        <w:pageBreakBefore w:val="0"/>
        <w:kinsoku w:val="0"/>
        <w:wordWrap/>
        <w:overflowPunct/>
        <w:topLinePunct w:val="0"/>
        <w:autoSpaceDE w:val="0"/>
        <w:autoSpaceDN w:val="0"/>
        <w:bidi w:val="0"/>
        <w:adjustRightInd w:val="0"/>
        <w:snapToGrid w:val="0"/>
        <w:spacing w:line="282" w:lineRule="atLeast"/>
        <w:ind w:firstLine="380" w:firstLineChars="200"/>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甲乙双方本着公平合理、互惠互利的原则，经友好协商签订本协议，具体内容如下：</w:t>
      </w:r>
    </w:p>
    <w:p w14:paraId="1C2A0FE7">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第一条合作内容</w:t>
      </w:r>
    </w:p>
    <w:p w14:paraId="116E1BE9">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en-US"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1甲方使用乙方提供的企业宽带业务。</w:t>
      </w:r>
      <w:bookmarkStart w:id="0" w:name="bookmark3"/>
      <w:bookmarkEnd w:id="0"/>
    </w:p>
    <w:p w14:paraId="4EFE1E10">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1.2甲方其他需求同等条件下优先考虑使用乙方业务。</w:t>
      </w:r>
    </w:p>
    <w:p w14:paraId="30ACF265">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二</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甲方的权利和义务</w:t>
      </w:r>
    </w:p>
    <w:p w14:paraId="1B4E6FC1">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甲方有权享受本协议约定的通信服务并在乙方提供的宽带业务中选择自己所需要的服务，依照国家主管部门有关资费标准以及双方达成的协议，在乙方规定的时间内向乙方及时缴纳相关通信服务的费用。</w:t>
      </w:r>
    </w:p>
    <w:p w14:paraId="5492C3A3">
      <w:pPr>
        <w:pageBreakBefore w:val="0"/>
        <w:kinsoku w:val="0"/>
        <w:wordWrap/>
        <w:overflowPunct/>
        <w:topLinePunct w:val="0"/>
        <w:autoSpaceDE w:val="0"/>
        <w:autoSpaceDN w:val="0"/>
        <w:bidi w:val="0"/>
        <w:adjustRightInd w:val="0"/>
        <w:snapToGrid w:val="0"/>
        <w:spacing w:before="121"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甲方应为乙方接入线路及设备提供安全保障，并为乙方进行线路接入及设备维护提供必要的协助和配合。甲方应保证</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接入地点物业全面配合乙方工程实施、安装和调测等工作。如因甲方未做好上述入网前的准备工作，导致乙方被要求支付额外费用的，该等费用应由甲方承担。对于因甲方原因造成的接入或维护延迟，乙方不承担责任。</w:t>
      </w:r>
    </w:p>
    <w:p w14:paraId="43AAAF6B">
      <w:pPr>
        <w:pageBreakBefore w:val="0"/>
        <w:kinsoku w:val="0"/>
        <w:wordWrap/>
        <w:overflowPunct/>
        <w:topLinePunct w:val="0"/>
        <w:autoSpaceDE w:val="0"/>
        <w:autoSpaceDN w:val="0"/>
        <w:bidi w:val="0"/>
        <w:adjustRightInd w:val="0"/>
        <w:snapToGrid w:val="0"/>
        <w:spacing w:before="121"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2.3</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甲方应向乙方书面提供</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宽带业务</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开通的准确</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的宽带使用需求</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宽带接入地址、可施工时间、</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联系人、联系电话等信息。如甲方提供以上信息有误，相应的责任和后果由甲方承担。如因甲方提供的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互联网</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接入地点错误导致工期延误的，开通时间应相应地顺延；因此造成乙方损失的，甲方应予以赔偿。</w:t>
      </w:r>
    </w:p>
    <w:p w14:paraId="45555FC1">
      <w:pPr>
        <w:pageBreakBefore w:val="0"/>
        <w:kinsoku w:val="0"/>
        <w:wordWrap/>
        <w:overflowPunct/>
        <w:topLinePunct w:val="0"/>
        <w:autoSpaceDE w:val="0"/>
        <w:autoSpaceDN w:val="0"/>
        <w:bidi w:val="0"/>
        <w:adjustRightInd w:val="0"/>
        <w:snapToGrid w:val="0"/>
        <w:spacing w:before="121"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2.4 甲方向乙方申请开通宽带接入服务，需办理相关业务登记手续。甲方办理登记手续时，需依照国家有关规定向乙方出示有效身份证件原件，提供真实身份信息。甲方委托他人办理登记手续的，受托人应当出示本人及甲方的有效身份证件原件，并提供甲方和本人的真实身份信息及甲方出具给受托人的有效授权委托书原件。甲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对填写的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入网申请</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资料的正确性、完整性承担法律责任</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p>
    <w:p w14:paraId="61F0BBD1">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2.5 甲方应派专人负责做好本方入网的各项准备工作，包括但不限于入网前的组织协调工作，强电等配套设施的准备，</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遵守乙方所规定的网络运行环境各项指标要求</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甲方应当确保装机地址的管线畅通，在安装过程中如需要穿墙打洞、布放明线的，甲方予以认可并承诺协助协调物业。如乙方安装人员在甲方指定并确认的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位置</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打洞后，若出现任何非乙方原因而产生的损失(如水管、强电、弱电线路穿破等)，乙方不承担任何责任。</w:t>
      </w:r>
    </w:p>
    <w:p w14:paraId="6C086C03">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2.6 甲方有义务确保乙方设置于甲方的通信设备及相关设施不受人为损害，若相关接入设备丢失、损毁。需按乙方设备赔付标准赔付：网络终端设备200元</w:t>
      </w:r>
      <w: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台。</w:t>
      </w:r>
    </w:p>
    <w:p w14:paraId="23C44AC6">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2.7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甲方可自带或向乙方购买乙方指定的与有线宽带业务适配的终端设备，甲方通过自带的终端设备使用业务时，因为该终端设备引起的通信受阻、产生其他费用等</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情况</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由甲方自行承担。</w:t>
      </w:r>
    </w:p>
    <w:p w14:paraId="7725031F">
      <w:pPr>
        <w:pageBreakBefore w:val="0"/>
        <w:kinsoku w:val="0"/>
        <w:wordWrap/>
        <w:overflowPunct/>
        <w:topLinePunct w:val="0"/>
        <w:autoSpaceDE w:val="0"/>
        <w:autoSpaceDN w:val="0"/>
        <w:bidi w:val="0"/>
        <w:adjustRightInd w:val="0"/>
        <w:snapToGrid w:val="0"/>
        <w:spacing w:before="121"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2.8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甲方机房</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至</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甲方信息点通信线路、交换机、路由器、电脑等设备，由甲方自行投资、自行维护。</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由于甲方自备设备故障或甲方操作不当造成的网络故障，甲方自行承担责任，乙方可提供技术服务咨询建议。</w:t>
      </w:r>
    </w:p>
    <w:p w14:paraId="2E13A3B4">
      <w:pPr>
        <w:pStyle w:val="5"/>
        <w:pageBreakBefore w:val="0"/>
        <w:kinsoku w:val="0"/>
        <w:wordWrap/>
        <w:overflowPunct/>
        <w:topLinePunct w:val="0"/>
        <w:autoSpaceDE w:val="0"/>
        <w:autoSpaceDN w:val="0"/>
        <w:bidi w:val="0"/>
        <w:adjustRightInd w:val="0"/>
        <w:snapToGrid w:val="0"/>
        <w:spacing w:line="282" w:lineRule="atLeast"/>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三</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乙方的权利和义务</w:t>
      </w:r>
    </w:p>
    <w:p w14:paraId="328E552A">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3.1 乙方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在</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宽带覆盖区域</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资源满足情况下，受理甲方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宽带业务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申请，</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乙方对于提供的互联网</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接入业务</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应依据相关标准、规程和规范进行维护，甲方应给予必要的协助和配合。</w:t>
      </w:r>
    </w:p>
    <w:p w14:paraId="701F8D79">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3.2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乙方所投资建设的线路及设备产权归乙方所有；乙方投资的设备及线路由乙方负责维护。</w:t>
      </w:r>
    </w:p>
    <w:p w14:paraId="40B46550">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3.3 乙</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方提供的终端设备，</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方不得擅自拆卸、不得恶意损坏</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不得丢弃或遗失</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，否则按</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赔付标准</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赔偿;在正常使用情况下，</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合同期内乙</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方将提供免费维护和维修服务。</w:t>
      </w:r>
    </w:p>
    <w:p w14:paraId="6B581504">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3.4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如乙方需要配合国家有关部门处理互联网网络与信息安全工作，包括但不限于提供客户基础资料、采取技术处理措施等，甲方应当予以配合，并对由此造成的影响予以谅解。乙方在接到投诉或发现甲方有危害互联网安全的行为时，有权或按照有关部门的要求立即针对不同情况予以处理，包括但不限于暂停本协议项下的业务等，直到确认甲方已完成有效整改后，甲方可恢复本协议的履行，由此产生的法律责任由甲方承担，乙方不承担任何责任。</w:t>
      </w:r>
    </w:p>
    <w:p w14:paraId="3E20BDBD">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3.5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乙方为甲方提供重要客户保障机制，</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常规问题</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支持7×24小时故障</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修复</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特殊问题如固件更换等</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故障</w:t>
      </w:r>
      <w:r>
        <w:rPr>
          <w:rFonts w:ascii="宋体" w:hAnsi="宋体" w:eastAsia="宋体" w:cs="宋体"/>
          <w:b w:val="0"/>
          <w:snapToGrid/>
          <w:color w:val="000000"/>
          <w:spacing w:val="0"/>
          <w:w w:val="100"/>
          <w:position w:val="0"/>
          <w:sz w:val="19"/>
          <w:szCs w:val="19"/>
          <w:highlight w:val="none"/>
          <w:u w:val="none"/>
          <w:shd w:val="clear" w:color="auto" w:fill="auto"/>
          <w:lang w:val="zh-TW" w:eastAsia="zh-Hans" w:bidi="zh-TW"/>
        </w:rPr>
        <w:t>48</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h内修复</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。乙方实行一点申告，全程服务，负责故障的全程处理，甲方应积极予以协助配合。甲方可通过乙方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服务热线4008-919-109 、官方微信公众号“翼扬网络”</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进行业务故障申报。</w:t>
      </w:r>
    </w:p>
    <w:p w14:paraId="319357C7">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3.6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因乙方进行</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定</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期设备维护、系统升级改造、必要的施工、</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割接</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等可能影响互联网</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专线</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业务的正常使用时，乙方应</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第一时间</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通知甲方，说明必要情况，并尽可能减少对业务使用的影响，但乙方不就此承担任何责任。</w:t>
      </w:r>
    </w:p>
    <w:p w14:paraId="7ED819C5">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3.7 乙方应</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按照国家规定的电信资费标准收取各项费用，保留在国家规定的资费政策范围内调整资费的权利</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p>
    <w:p w14:paraId="7F92E979">
      <w:pPr>
        <w:pStyle w:val="5"/>
        <w:pageBreakBefore w:val="0"/>
        <w:kinsoku w:val="0"/>
        <w:wordWrap/>
        <w:overflowPunct/>
        <w:topLinePunct w:val="0"/>
        <w:autoSpaceDE w:val="0"/>
        <w:autoSpaceDN w:val="0"/>
        <w:bidi w:val="0"/>
        <w:adjustRightInd w:val="0"/>
        <w:snapToGrid w:val="0"/>
        <w:spacing w:line="282" w:lineRule="atLeast"/>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四</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开通验收</w:t>
      </w:r>
    </w:p>
    <w:p w14:paraId="6C25868E">
      <w:pPr>
        <w:pageBreakBefore w:val="0"/>
        <w:kinsoku w:val="0"/>
        <w:wordWrap/>
        <w:overflowPunct/>
        <w:topLinePunct w:val="0"/>
        <w:autoSpaceDE w:val="0"/>
        <w:autoSpaceDN w:val="0"/>
        <w:bidi w:val="0"/>
        <w:adjustRightInd w:val="0"/>
        <w:snapToGrid w:val="0"/>
        <w:spacing w:before="121"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4.1 甲</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方办理</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入网登记和</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新装手续后，乙方承诺自甲方申请之日起</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3-5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个工作日内完成宽带</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安装</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本协议生效后，乙方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按约定完成</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甲方订购</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的开通工作。如甲方对开通时间另有要求，</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双方协商确定后，</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乙方应按照甲方要求的时间开通。</w:t>
      </w:r>
    </w:p>
    <w:p w14:paraId="2B6E9BF9">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4</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 甲方宽带安装后，自通网之日起计费，若遇</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实际存在技术</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卡点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或线路端口资源不到位</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导致无法交付无法通网的</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，乙方退还甲方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已缴未用的</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费用，同时本协议终止</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双方互不追责</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p>
    <w:p w14:paraId="52924D95">
      <w:pPr>
        <w:pageBreakBefore w:val="0"/>
        <w:kinsoku w:val="0"/>
        <w:wordWrap/>
        <w:overflowPunct/>
        <w:topLinePunct w:val="0"/>
        <w:autoSpaceDE w:val="0"/>
        <w:autoSpaceDN w:val="0"/>
        <w:bidi w:val="0"/>
        <w:adjustRightInd w:val="0"/>
        <w:snapToGrid w:val="0"/>
        <w:spacing w:before="160" w:line="282" w:lineRule="atLeas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4.3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业务验收应在乙方施工完毕后</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个工作日内，由甲乙双方相关人员共同确认。如甲方对工程验收有异议，则应在</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验收结束前</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提出书面意见；如甲方在</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验收结束前</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对验收未提出书面意见的，则无论是否确认开通，均视为验收已通过且甲方已同意开通业务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线路自宽带通网之日起开始计费。</w:t>
      </w:r>
    </w:p>
    <w:p w14:paraId="760C36A7">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五</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计费和结算</w:t>
      </w:r>
    </w:p>
    <w:p w14:paraId="64520CAF">
      <w:pPr>
        <w:pageBreakBefore w:val="0"/>
        <w:kinsoku w:val="0"/>
        <w:wordWrap/>
        <w:overflowPunct/>
        <w:topLinePunct w:val="0"/>
        <w:autoSpaceDE w:val="0"/>
        <w:autoSpaceDN w:val="0"/>
        <w:bidi w:val="0"/>
        <w:adjustRightInd w:val="0"/>
        <w:snapToGrid w:val="0"/>
        <w:spacing w:before="160" w:line="282" w:lineRule="atLeast"/>
        <w:ind w:firstLine="380" w:firstLineChars="200"/>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Hans" w:bidi="zh-TW"/>
        </w:rPr>
        <w:t>甲方</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申请</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Hans" w:bidi="zh-TW"/>
        </w:rPr>
        <w:t>办理乙方宽带业务，</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乙方按照本协议约定的资费标准向甲方收取</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宽带业</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务的各项费用</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费用为含税价</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增值税</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税</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率为【6%】)</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具体服务内容为：</w:t>
      </w:r>
    </w:p>
    <w:tbl>
      <w:tblPr>
        <w:tblStyle w:val="13"/>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852"/>
      </w:tblGrid>
      <w:tr w14:paraId="710E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365DDC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甲方名称</w:t>
            </w:r>
          </w:p>
        </w:tc>
        <w:tc>
          <w:tcPr>
            <w:tcW w:w="6852" w:type="dxa"/>
            <w:vAlign w:val="center"/>
          </w:tcPr>
          <w:p w14:paraId="1A453F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广东鼎晟达技术有限公司</w:t>
            </w:r>
          </w:p>
        </w:tc>
      </w:tr>
      <w:tr w14:paraId="7FBB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37000182">
            <w:pPr>
              <w:pStyle w:val="10"/>
              <w:keepNext w:val="0"/>
              <w:keepLines w:val="0"/>
              <w:widowControl/>
              <w:suppressLineNumbers w:val="0"/>
              <w:spacing w:before="0" w:beforeAutospacing="0" w:after="0" w:afterAutospacing="0" w:line="283" w:lineRule="auto"/>
              <w:ind w:left="0" w:right="0" w:firstLine="0"/>
              <w:jc w:val="left"/>
              <w:rPr>
                <w:rFonts w:hint="default" w:ascii="宋体" w:hAnsi="宋体" w:eastAsia="宋体" w:cs="宋体"/>
                <w:snapToGrid/>
                <w:sz w:val="19"/>
                <w:szCs w:val="19"/>
                <w:lang w:val="en-US" w:eastAsia="zh-CN" w:bidi="zh-TW"/>
              </w:rPr>
            </w:pPr>
            <w:r>
              <w:rPr>
                <w:rFonts w:hint="eastAsia" w:ascii="宋体" w:hAnsi="宋体" w:eastAsia="宋体" w:cs="宋体"/>
                <w:snapToGrid/>
                <w:sz w:val="19"/>
                <w:szCs w:val="19"/>
                <w:lang w:val="en-US" w:eastAsia="zh-CN" w:bidi="zh-TW"/>
              </w:rPr>
              <w:t>统一社会信用代码</w:t>
            </w:r>
          </w:p>
        </w:tc>
        <w:tc>
          <w:tcPr>
            <w:tcW w:w="6852" w:type="dxa"/>
            <w:vAlign w:val="center"/>
          </w:tcPr>
          <w:p w14:paraId="255510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t>91441322MACPB65854</w:t>
            </w:r>
          </w:p>
        </w:tc>
      </w:tr>
      <w:tr w14:paraId="0EB2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74B7F24E">
            <w:pPr>
              <w:pStyle w:val="10"/>
              <w:keepNext w:val="0"/>
              <w:keepLines w:val="0"/>
              <w:widowControl/>
              <w:suppressLineNumbers w:val="0"/>
              <w:spacing w:before="0" w:beforeAutospacing="0" w:after="0" w:afterAutospacing="0" w:line="283" w:lineRule="auto"/>
              <w:ind w:left="0" w:right="0" w:firstLine="0"/>
              <w:jc w:val="left"/>
              <w:rPr>
                <w:rFonts w:hint="eastAsia" w:ascii="宋体" w:hAnsi="宋体" w:eastAsia="宋体" w:cs="宋体"/>
                <w:snapToGrid/>
                <w:sz w:val="19"/>
                <w:szCs w:val="19"/>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宽带接入地址</w:t>
            </w:r>
          </w:p>
        </w:tc>
        <w:tc>
          <w:tcPr>
            <w:tcW w:w="6852" w:type="dxa"/>
            <w:vAlign w:val="center"/>
          </w:tcPr>
          <w:p w14:paraId="3EB67D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snapToGrid/>
                <w:sz w:val="19"/>
                <w:szCs w:val="19"/>
                <w:lang w:bidi="zh-TW"/>
              </w:rPr>
              <w:t>惠州市江丰万洋众创城</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8栋2楼</w:t>
            </w:r>
          </w:p>
        </w:tc>
      </w:tr>
      <w:tr w14:paraId="3037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13AAD5B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业务类别</w:t>
            </w:r>
          </w:p>
        </w:tc>
        <w:tc>
          <w:tcPr>
            <w:tcW w:w="6852" w:type="dxa"/>
            <w:vAlign w:val="center"/>
          </w:tcPr>
          <w:p w14:paraId="59F117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TW" w:bidi="zh-TW"/>
              </w:rPr>
            </w:pPr>
            <w: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开户        □移机          □续费         □销户</w:t>
            </w:r>
          </w:p>
        </w:tc>
      </w:tr>
      <w:tr w14:paraId="5C4F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756" w:type="dxa"/>
            <w:vAlign w:val="center"/>
          </w:tcPr>
          <w:p w14:paraId="0DEB60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宽带类型</w:t>
            </w:r>
          </w:p>
        </w:tc>
        <w:tc>
          <w:tcPr>
            <w:tcW w:w="6852" w:type="dxa"/>
            <w:vAlign w:val="center"/>
          </w:tcPr>
          <w:p w14:paraId="355100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☑普通宽带    □商务专线      □ 公寓宽带    □其他</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p>
        </w:tc>
      </w:tr>
      <w:tr w14:paraId="672C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56" w:type="dxa"/>
            <w:vAlign w:val="center"/>
          </w:tcPr>
          <w:p w14:paraId="3C2A3CC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宽带数量</w:t>
            </w:r>
          </w:p>
        </w:tc>
        <w:tc>
          <w:tcPr>
            <w:tcW w:w="6852" w:type="dxa"/>
            <w:vAlign w:val="center"/>
          </w:tcPr>
          <w:p w14:paraId="2B4783FE">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both"/>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10</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□20</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0M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00M</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00M</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条</w:t>
            </w:r>
          </w:p>
        </w:tc>
      </w:tr>
      <w:tr w14:paraId="6FB7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56" w:type="dxa"/>
            <w:vAlign w:val="center"/>
          </w:tcPr>
          <w:p w14:paraId="5544531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宽带信息</w:t>
            </w:r>
          </w:p>
        </w:tc>
        <w:tc>
          <w:tcPr>
            <w:tcW w:w="6852" w:type="dxa"/>
            <w:vAlign w:val="center"/>
          </w:tcPr>
          <w:p w14:paraId="3B617A5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办理</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2条1000M宽带，一条电信网络，一条移动网络，时间地址价格都一样</w:t>
            </w:r>
          </w:p>
        </w:tc>
      </w:tr>
      <w:tr w14:paraId="04E0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56" w:type="dxa"/>
            <w:vAlign w:val="center"/>
          </w:tcPr>
          <w:p w14:paraId="4C4F42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资费标准</w:t>
            </w:r>
          </w:p>
        </w:tc>
        <w:tc>
          <w:tcPr>
            <w:tcW w:w="6852" w:type="dxa"/>
            <w:vAlign w:val="center"/>
          </w:tcPr>
          <w:p w14:paraId="00AD683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rightChars="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☑宽带业务使用费：    标准价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10000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元/年，优惠价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6666</w:t>
            </w:r>
            <w:r>
              <w:rPr>
                <w:rFonts w:hint="default" w:ascii="宋体" w:hAnsi="宋体" w:eastAsia="宋体" w:cs="宋体"/>
                <w:b w:val="0"/>
                <w:snapToGrid/>
                <w:color w:val="000000"/>
                <w:spacing w:val="0"/>
                <w:w w:val="100"/>
                <w:position w:val="0"/>
                <w:sz w:val="19"/>
                <w:szCs w:val="19"/>
                <w:highlight w:val="none"/>
                <w:u w:val="single"/>
                <w:shd w:val="clear" w:color="auto" w:fill="auto"/>
                <w:lang w:val="en-US" w:eastAsia="zh-CN" w:bidi="zh-TW"/>
              </w:rPr>
              <w:t>.6</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元/年。</w:t>
            </w:r>
          </w:p>
          <w:p w14:paraId="13381D8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rightChars="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□装机费：            标准价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108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元</w:t>
            </w:r>
            <w: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次 ，优惠价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元/次。</w:t>
            </w:r>
          </w:p>
          <w:p w14:paraId="6C2420A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rightChars="0"/>
              <w:jc w:val="left"/>
              <w:textAlignment w:val="cente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□其他一次性费用：    标准价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元/次 ，优惠价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元/次。</w:t>
            </w:r>
          </w:p>
          <w:p w14:paraId="1533DEFF">
            <w:pPr>
              <w:keepNext w:val="0"/>
              <w:keepLines w:val="0"/>
              <w:widowControl/>
              <w:suppressLineNumbers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□网络终端设备押金：  标准价 </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元/台 (备注：年付免收押金) 。</w:t>
            </w:r>
          </w:p>
        </w:tc>
      </w:tr>
      <w:tr w14:paraId="0A39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56" w:type="dxa"/>
            <w:vAlign w:val="center"/>
          </w:tcPr>
          <w:p w14:paraId="3E29877A">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lef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付费周期</w:t>
            </w:r>
          </w:p>
        </w:tc>
        <w:tc>
          <w:tcPr>
            <w:tcW w:w="6852" w:type="dxa"/>
            <w:vAlign w:val="center"/>
          </w:tcPr>
          <w:p w14:paraId="67C3EFEF">
            <w:pPr>
              <w:pStyle w:val="10"/>
              <w:keepNext w:val="0"/>
              <w:keepLines w:val="0"/>
              <w:widowControl/>
              <w:suppressLineNumbers w:val="0"/>
              <w:spacing w:before="128" w:beforeAutospacing="0" w:after="0" w:afterAutospacing="0" w:line="283" w:lineRule="auto"/>
              <w:ind w:left="0" w:right="0" w:firstLine="0"/>
              <w:jc w:val="both"/>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pPr>
            <w:r>
              <w:rPr>
                <w:rFonts w:hint="eastAsia" w:ascii="宋体" w:hAnsi="宋体" w:eastAsia="宋体" w:cs="宋体"/>
                <w:color w:val="000000"/>
                <w:sz w:val="19"/>
                <w:szCs w:val="19"/>
                <w:shd w:val="clear" w:fill="FFFFFF"/>
                <w:lang w:eastAsia="zh-CN"/>
              </w:rPr>
              <w:t>☑</w:t>
            </w:r>
            <w:r>
              <w:rPr>
                <w:rFonts w:hint="eastAsia" w:ascii="宋体" w:hAnsi="宋体" w:eastAsia="宋体" w:cs="宋体"/>
                <w:color w:val="000000"/>
                <w:sz w:val="19"/>
                <w:szCs w:val="19"/>
                <w:shd w:val="clear" w:fill="FFFFFF"/>
              </w:rPr>
              <w:t>按年付费   □按半年付费</w:t>
            </w:r>
            <w:r>
              <w:rPr>
                <w:rFonts w:hint="eastAsia" w:ascii="宋体" w:hAnsi="宋体" w:eastAsia="宋体" w:cs="宋体"/>
                <w:color w:val="000000"/>
                <w:sz w:val="19"/>
                <w:szCs w:val="19"/>
                <w:shd w:val="clear" w:fill="FFFFFF"/>
                <w:lang w:val="en-US" w:eastAsia="zh-CN"/>
              </w:rPr>
              <w:t xml:space="preserve"> </w:t>
            </w:r>
            <w:r>
              <w:rPr>
                <w:rFonts w:hint="eastAsia" w:ascii="宋体" w:hAnsi="宋体" w:eastAsia="宋体" w:cs="宋体"/>
                <w:color w:val="000000"/>
                <w:sz w:val="19"/>
                <w:szCs w:val="19"/>
                <w:shd w:val="clear" w:fill="FFFFFF"/>
              </w:rPr>
              <w:t>  □按季度付费</w:t>
            </w:r>
            <w:r>
              <w:rPr>
                <w:rFonts w:hint="eastAsia" w:ascii="宋体" w:hAnsi="宋体" w:eastAsia="宋体" w:cs="宋体"/>
                <w:color w:val="000000"/>
                <w:sz w:val="19"/>
                <w:szCs w:val="19"/>
                <w:shd w:val="clear" w:fill="FFFFFF"/>
                <w:lang w:val="en-US" w:eastAsia="zh-CN"/>
              </w:rPr>
              <w:t xml:space="preserve"> </w:t>
            </w:r>
            <w:r>
              <w:rPr>
                <w:rFonts w:hint="eastAsia" w:ascii="宋体" w:hAnsi="宋体" w:eastAsia="宋体" w:cs="宋体"/>
                <w:color w:val="000000"/>
                <w:sz w:val="19"/>
                <w:szCs w:val="19"/>
                <w:shd w:val="clear" w:fill="FFFFFF"/>
              </w:rPr>
              <w:t> □其他</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w:t>
            </w:r>
          </w:p>
        </w:tc>
      </w:tr>
      <w:tr w14:paraId="0E1F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756" w:type="dxa"/>
            <w:vAlign w:val="center"/>
          </w:tcPr>
          <w:p w14:paraId="419353C9">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left"/>
              <w:rPr>
                <w:rFonts w:hint="default" w:ascii="宋体" w:hAnsi="宋体" w:eastAsia="宋体" w:cs="宋体"/>
                <w:b w:val="0"/>
                <w:snapToGrid/>
                <w:color w:val="000000"/>
                <w:spacing w:val="0"/>
                <w:w w:val="100"/>
                <w:position w:val="0"/>
                <w:sz w:val="19"/>
                <w:szCs w:val="19"/>
                <w:highlight w:val="none"/>
                <w:u w:val="none"/>
                <w:shd w:val="clear" w:color="auto" w:fill="auto"/>
                <w:lang w:val="en-US"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付费方式</w:t>
            </w:r>
          </w:p>
        </w:tc>
        <w:tc>
          <w:tcPr>
            <w:tcW w:w="6852" w:type="dxa"/>
            <w:vAlign w:val="center"/>
          </w:tcPr>
          <w:p w14:paraId="5AAC279B">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both"/>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银行转账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现金预缴（一次性支付</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3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年费用，共计</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20000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元）</w:t>
            </w:r>
          </w:p>
          <w:p w14:paraId="61A97BB3">
            <w:pPr>
              <w:keepNext w:val="0"/>
              <w:keepLines w:val="0"/>
              <w:pageBreakBefore w:val="0"/>
              <w:widowControl w:val="0"/>
              <w:suppressLineNumbers w:val="0"/>
              <w:kinsoku w:val="0"/>
              <w:wordWrap/>
              <w:overflowPunct/>
              <w:topLinePunct w:val="0"/>
              <w:autoSpaceDE w:val="0"/>
              <w:autoSpaceDN w:val="0"/>
              <w:bidi w:val="0"/>
              <w:adjustRightInd w:val="0"/>
              <w:snapToGrid w:val="0"/>
              <w:spacing w:before="160" w:beforeAutospacing="0" w:after="0" w:afterAutospacing="0" w:line="282" w:lineRule="atLeast"/>
              <w:ind w:left="0" w:right="0"/>
              <w:jc w:val="both"/>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snapToGrid w:val="0"/>
                <w:color w:val="auto"/>
                <w:sz w:val="19"/>
                <w:szCs w:val="19"/>
                <w:highlight w:val="none"/>
                <w:lang w:val="en-US" w:eastAsia="zh-CN"/>
              </w:rPr>
              <w:t>合同签约之后</w:t>
            </w:r>
            <w:r>
              <w:rPr>
                <w:rFonts w:hint="eastAsia" w:ascii="宋体" w:hAnsi="宋体" w:eastAsia="宋体"/>
                <w:snapToGrid w:val="0"/>
                <w:color w:val="auto"/>
                <w:sz w:val="19"/>
                <w:szCs w:val="19"/>
                <w:highlight w:val="none"/>
              </w:rPr>
              <w:t>甲方于</w:t>
            </w:r>
            <w:r>
              <w:rPr>
                <w:rFonts w:hint="eastAsia" w:ascii="宋体" w:hAnsi="宋体" w:eastAsia="宋体"/>
                <w:snapToGrid w:val="0"/>
                <w:color w:val="auto"/>
                <w:sz w:val="19"/>
                <w:szCs w:val="19"/>
                <w:highlight w:val="none"/>
                <w:lang w:val="en-US" w:eastAsia="zh-CN"/>
              </w:rPr>
              <w:t>5</w:t>
            </w:r>
            <w:r>
              <w:rPr>
                <w:rFonts w:hint="eastAsia" w:ascii="宋体" w:hAnsi="宋体" w:eastAsia="宋体"/>
                <w:snapToGrid w:val="0"/>
                <w:color w:val="auto"/>
                <w:sz w:val="19"/>
                <w:szCs w:val="19"/>
                <w:highlight w:val="none"/>
              </w:rPr>
              <w:t>个工作日内向乙方支付相应款项</w:t>
            </w:r>
            <w:r>
              <w:rPr>
                <w:rFonts w:hint="eastAsia" w:ascii="宋体" w:hAnsi="宋体" w:eastAsia="宋体"/>
                <w:snapToGrid w:val="0"/>
                <w:color w:val="auto"/>
                <w:sz w:val="19"/>
                <w:szCs w:val="19"/>
                <w:highlight w:val="none"/>
                <w:lang w:eastAsia="zh-CN"/>
              </w:rPr>
              <w:t>，</w:t>
            </w:r>
            <w:r>
              <w:rPr>
                <w:rFonts w:hint="eastAsia" w:ascii="宋体" w:hAnsi="宋体" w:eastAsia="宋体"/>
                <w:snapToGrid w:val="0"/>
                <w:color w:val="auto"/>
                <w:sz w:val="19"/>
                <w:szCs w:val="19"/>
                <w:highlight w:val="none"/>
                <w:lang w:val="en-US" w:eastAsia="zh-CN"/>
              </w:rPr>
              <w:t>乙方收到款项后办理相关手续。</w:t>
            </w:r>
          </w:p>
        </w:tc>
      </w:tr>
      <w:tr w14:paraId="70D1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56" w:type="dxa"/>
            <w:vAlign w:val="center"/>
          </w:tcPr>
          <w:p w14:paraId="1FE41C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宽带开通日期</w:t>
            </w:r>
          </w:p>
        </w:tc>
        <w:tc>
          <w:tcPr>
            <w:tcW w:w="6852" w:type="dxa"/>
            <w:vAlign w:val="center"/>
          </w:tcPr>
          <w:p w14:paraId="2B90C08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firstLine="380" w:firstLineChars="200"/>
              <w:jc w:val="lef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2025  年  2   月  17   日起至   2028   年   2  月  16   日</w:t>
            </w:r>
          </w:p>
        </w:tc>
      </w:tr>
      <w:tr w14:paraId="7920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56" w:type="dxa"/>
            <w:vAlign w:val="center"/>
          </w:tcPr>
          <w:p w14:paraId="7BACD6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宽带赠送时长</w:t>
            </w:r>
          </w:p>
        </w:tc>
        <w:tc>
          <w:tcPr>
            <w:tcW w:w="6852" w:type="dxa"/>
            <w:shd w:val="clear" w:color="auto" w:fill="auto"/>
            <w:vAlign w:val="center"/>
          </w:tcPr>
          <w:p w14:paraId="1387FFEA">
            <w:pPr>
              <w:pStyle w:val="10"/>
              <w:keepNext w:val="0"/>
              <w:keepLines w:val="0"/>
              <w:widowControl/>
              <w:suppressLineNumbers w:val="0"/>
              <w:spacing w:before="128" w:beforeAutospacing="0" w:after="0" w:afterAutospacing="0" w:line="283" w:lineRule="auto"/>
              <w:ind w:left="0" w:leftChars="0" w:right="0" w:rightChars="0" w:firstLine="0" w:firstLineChars="0"/>
              <w:jc w:val="both"/>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自</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2028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月</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16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日至</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2028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5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月</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17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w:t>
            </w:r>
          </w:p>
          <w:p w14:paraId="60743F52">
            <w:pPr>
              <w:pStyle w:val="10"/>
              <w:keepNext w:val="0"/>
              <w:keepLines w:val="0"/>
              <w:widowControl/>
              <w:suppressLineNumbers w:val="0"/>
              <w:spacing w:before="128" w:beforeAutospacing="0" w:after="0" w:afterAutospacing="0" w:line="283" w:lineRule="auto"/>
              <w:ind w:left="0" w:leftChars="0" w:right="0" w:rightChars="0" w:firstLine="380" w:firstLineChars="200"/>
              <w:jc w:val="both"/>
              <w:rPr>
                <w:rFonts w:hint="eastAsia" w:ascii="宋体" w:hAnsi="宋体" w:eastAsia="宋体" w:cs="宋体"/>
                <w:b w:val="0"/>
                <w:snapToGrid/>
                <w:color w:val="000000"/>
                <w:spacing w:val="0"/>
                <w:w w:val="100"/>
                <w:kern w:val="0"/>
                <w:position w:val="0"/>
                <w:sz w:val="19"/>
                <w:szCs w:val="19"/>
                <w:highlight w:val="none"/>
                <w:u w:val="none"/>
                <w:shd w:val="clear" w:color="auto" w:fill="auto"/>
                <w:lang w:val="en-US" w:eastAsia="zh-CN" w:bidi="zh-TW"/>
              </w:rPr>
            </w:pPr>
            <w:r>
              <w:rPr>
                <w:rFonts w:hint="eastAsia" w:ascii="宋体" w:hAnsi="宋体" w:eastAsia="宋体" w:cs="宋体"/>
                <w:color w:val="000000"/>
                <w:sz w:val="19"/>
                <w:szCs w:val="19"/>
                <w:shd w:val="clear" w:fill="FFFFFF"/>
                <w:lang w:eastAsia="zh-CN"/>
              </w:rPr>
              <w:t>（</w:t>
            </w:r>
            <w:r>
              <w:rPr>
                <w:rFonts w:hint="eastAsia" w:ascii="宋体" w:hAnsi="宋体" w:eastAsia="宋体" w:cs="宋体"/>
                <w:color w:val="000000"/>
                <w:sz w:val="19"/>
                <w:szCs w:val="19"/>
                <w:shd w:val="clear" w:fill="FFFFFF"/>
                <w:lang w:val="en-US" w:eastAsia="zh-CN"/>
              </w:rPr>
              <w:t>备注：宽带实际使用满1年后即可享受赠送</w:t>
            </w:r>
            <w:r>
              <w:rPr>
                <w:rFonts w:hint="eastAsia" w:ascii="宋体" w:hAnsi="宋体" w:eastAsia="宋体" w:cs="宋体"/>
                <w:color w:val="000000"/>
                <w:sz w:val="19"/>
                <w:szCs w:val="19"/>
                <w:shd w:val="clear" w:fill="FFFFFF"/>
                <w:lang w:eastAsia="zh-CN"/>
              </w:rPr>
              <w:t>）</w:t>
            </w:r>
          </w:p>
        </w:tc>
      </w:tr>
      <w:tr w14:paraId="3BD9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56" w:type="dxa"/>
            <w:vAlign w:val="center"/>
          </w:tcPr>
          <w:p w14:paraId="5C9D4F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textAlignment w:val="center"/>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甲方经办人</w:t>
            </w:r>
          </w:p>
        </w:tc>
        <w:tc>
          <w:tcPr>
            <w:tcW w:w="6852" w:type="dxa"/>
            <w:vAlign w:val="center"/>
          </w:tcPr>
          <w:p w14:paraId="22F2B6C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282" w:lineRule="atLeast"/>
              <w:ind w:left="0" w:right="0"/>
              <w:jc w:val="lef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 经办人： 范胜添              联系电话：13434053503</w:t>
            </w:r>
          </w:p>
        </w:tc>
      </w:tr>
    </w:tbl>
    <w:p w14:paraId="742CBD08">
      <w:pPr>
        <w:pStyle w:val="10"/>
        <w:keepNext w:val="0"/>
        <w:keepLines w:val="0"/>
        <w:widowControl/>
        <w:suppressLineNumbers w:val="0"/>
        <w:spacing w:before="128" w:beforeAutospacing="0" w:after="0" w:afterAutospacing="0" w:line="283" w:lineRule="auto"/>
        <w:ind w:left="0" w:firstLine="0"/>
        <w:jc w:val="left"/>
        <w:rPr>
          <w:rFonts w:hint="eastAsia" w:ascii="宋体" w:hAnsi="宋体" w:eastAsia="宋体" w:cs="宋体"/>
          <w:color w:val="000000"/>
          <w:sz w:val="19"/>
          <w:szCs w:val="19"/>
          <w:highlight w:val="none"/>
          <w:shd w:val="clear" w:fill="FFFFFF"/>
        </w:rPr>
      </w:pPr>
      <w:r>
        <w:rPr>
          <w:rFonts w:hint="eastAsia" w:ascii="宋体" w:hAnsi="宋体" w:eastAsia="宋体" w:cs="宋体"/>
          <w:color w:val="000000"/>
          <w:sz w:val="19"/>
          <w:szCs w:val="19"/>
          <w:highlight w:val="none"/>
          <w:shd w:val="clear" w:fill="FFFFFF"/>
        </w:rPr>
        <w:t>5.2 计费</w:t>
      </w:r>
      <w:r>
        <w:rPr>
          <w:rFonts w:hint="eastAsia" w:ascii="宋体" w:hAnsi="宋体" w:eastAsia="宋体" w:cs="宋体"/>
          <w:color w:val="000000"/>
          <w:sz w:val="19"/>
          <w:szCs w:val="19"/>
          <w:highlight w:val="none"/>
          <w:shd w:val="clear" w:fill="FFFFFF"/>
          <w:lang w:val="en-US" w:eastAsia="zh-CN"/>
        </w:rPr>
        <w:t>最小单位为月度</w:t>
      </w:r>
      <w:r>
        <w:rPr>
          <w:rFonts w:hint="eastAsia" w:ascii="宋体" w:hAnsi="宋体" w:eastAsia="宋体" w:cs="宋体"/>
          <w:color w:val="000000"/>
          <w:sz w:val="19"/>
          <w:szCs w:val="19"/>
          <w:highlight w:val="none"/>
          <w:shd w:val="clear" w:fill="FFFFFF"/>
        </w:rPr>
        <w:t>，</w:t>
      </w:r>
      <w:r>
        <w:rPr>
          <w:rFonts w:hint="eastAsia" w:ascii="宋体" w:hAnsi="宋体" w:eastAsia="宋体" w:cs="宋体"/>
          <w:color w:val="000000"/>
          <w:sz w:val="19"/>
          <w:szCs w:val="19"/>
          <w:highlight w:val="none"/>
          <w:shd w:val="clear" w:fill="FFFFFF"/>
          <w:lang w:val="en-US" w:eastAsia="zh-CN"/>
        </w:rPr>
        <w:t>安装</w:t>
      </w:r>
      <w:r>
        <w:rPr>
          <w:rFonts w:hint="eastAsia" w:ascii="宋体" w:hAnsi="宋体" w:eastAsia="宋体" w:cs="宋体"/>
          <w:color w:val="000000"/>
          <w:sz w:val="19"/>
          <w:szCs w:val="19"/>
          <w:highlight w:val="none"/>
          <w:shd w:val="clear" w:fill="FFFFFF"/>
        </w:rPr>
        <w:t>起始日当月、退订日当月不满整月的情况下，当月宽带业务服务费用按月资费收取。</w:t>
      </w:r>
    </w:p>
    <w:p w14:paraId="13BE8314">
      <w:pPr>
        <w:pStyle w:val="10"/>
        <w:keepNext w:val="0"/>
        <w:keepLines w:val="0"/>
        <w:widowControl/>
        <w:suppressLineNumbers w:val="0"/>
        <w:spacing w:before="128" w:beforeAutospacing="0" w:after="0" w:afterAutospacing="0" w:line="283" w:lineRule="auto"/>
        <w:ind w:left="0" w:firstLine="0"/>
        <w:jc w:val="lef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六</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违约责任</w:t>
      </w:r>
    </w:p>
    <w:p w14:paraId="18F6F4EA">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6</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 任何一方未履行本协议项下的任何一项条款均视为违约。任何一方在收到对方的具体说明违约的书面通知后，如确认违约行为实际存在，则应在10日内对违约行为予以纠正并书面通知对方；如认为违约行为不存在，则应在10日内向对方提出书面异议或说明，在此情况下，双方可以就此问题进行协商，协商不成的，按本协议争议解决条款解决。违约方应承担因自己的违约行为而给守约方造成的实际损失。本协议另有约定的，从其约定。但无论何种情况，乙方对本协议项下所有索赔的赔偿总额不超过甲方向乙方实际支付费用的总和。</w:t>
      </w:r>
    </w:p>
    <w:p w14:paraId="74DEF189">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6.2 甲方超过约定交费期限【7日】仍未交足费用（以下称“欠费”），甲</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方逾期</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20</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仍不付费的，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乙方有权暂停提供服务，并可以按照所欠费用自交费期限届满次日起每日加收千分之三的违约金。自暂停服务之日起30日内，如甲方交清欠费和违约金的，乙方应在甲方交清欠费和违约金后的48小时内恢复暂停的服务。基于乙方投入资源和成本的连续性，暂停</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服务期间</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宽带费用</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和违约金</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将持续收取</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。欠费累计已满</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【30</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日</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的，</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乙</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方有权单方面终止本协议</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并给予拆机</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且</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保留追缴</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方所欠费用(含违约金)的权利。</w:t>
      </w:r>
    </w:p>
    <w:p w14:paraId="3BC3889E">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6.3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甲方因自身原因需提前解除协议，需与乙方协商一致</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，已付费用及设备押金乙方有权不予退回，且甲方需要向乙方偿付合同款项的百分之十作为违约金，，如造成乙方损失超过违约金的，超出部分由甲方继续承担赔偿责任。甲</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方在缴清所有应付费用后方可办理</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销账</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手续，本协议解除。</w:t>
      </w:r>
    </w:p>
    <w:p w14:paraId="7C9B34B7">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6</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4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在任何情况下，乙方仅对因其过错给甲方造成的直接损害结果承担赔偿责任，且该赔偿责任以实</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际损害为准，同时，乙方对下述事项不承担责任：</w:t>
      </w:r>
    </w:p>
    <w:p w14:paraId="36E498A0">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第三方对甲方提出的索赔要求；</w:t>
      </w:r>
    </w:p>
    <w:p w14:paraId="3D50F906">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2</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甲方的记录或数据的丢失或损坏；</w:t>
      </w:r>
    </w:p>
    <w:p w14:paraId="0E4A3F1E">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3</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甲方的经营损失等一切间接损失。</w:t>
      </w:r>
    </w:p>
    <w:p w14:paraId="5BA1AF8F">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6.5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如因乙方难以避免、难以排除的技术或网络故障或第三方原因造成甲方无法使用本协议项下服务的，不视为乙方违约，但乙方应尽合理努力争取在最短时间内解决，对此双方无异议。</w:t>
      </w:r>
    </w:p>
    <w:p w14:paraId="57B8470F">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第七条 隐私和通信权益保护</w:t>
      </w:r>
    </w:p>
    <w:p w14:paraId="79CC2646">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7.1 甲方的通信自由和通信秘密不受侵犯，乙方对甲方的客户资料和通信信息负有保密义务。但根据法律法规规定，相关法定机关依法要求乙方提供协助和配合，乙方给予协助和配合的，不构成侵犯他人隐私权以及通信自由和通信秘密权，不构成违反保密义务。</w:t>
      </w:r>
    </w:p>
    <w:p w14:paraId="4D821752">
      <w:pPr>
        <w:pStyle w:val="5"/>
        <w:pageBreakBefore w:val="0"/>
        <w:kinsoku w:val="0"/>
        <w:wordWrap/>
        <w:overflowPunct/>
        <w:topLinePunct w:val="0"/>
        <w:autoSpaceDE w:val="0"/>
        <w:autoSpaceDN w:val="0"/>
        <w:bidi w:val="0"/>
        <w:adjustRightInd w:val="0"/>
        <w:snapToGrid w:val="0"/>
        <w:spacing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7.2 本协议涉及商业机密，甲乙双方保证不以任何形式向第三方提供或披露本协议的内容和与对方业务有关的资料及信息，由泄密而引起的损失由泄密方承担全部责任。</w:t>
      </w:r>
    </w:p>
    <w:p w14:paraId="4D7CAB9E">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八</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不可抗力及免责条款</w:t>
      </w:r>
    </w:p>
    <w:p w14:paraId="7DB32A68">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8</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 因不可抗力致使一方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“受阻方”</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网络无法覆盖、停电、通信线路被第三方损坏</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。不可抗力事件终止或被排除后，受阻方应继续履行本协议，并应尽快通知另一方。受阻方应可延长履行义务的时间，延长期应相当于不可抗力事件实际造成延误的时间。</w:t>
      </w:r>
    </w:p>
    <w:p w14:paraId="7F81D9E9">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8</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2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如果不可抗力事件的影响持续达30日或以上时，双方应根据该事件对本协议履行的影响程度协商对本协议的修改或终止。如在一方发出协商书面通知之日起1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日内双方无法就此达成一致，任何一方均有权解除本协议</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而无须</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承担违约责任。</w:t>
      </w:r>
    </w:p>
    <w:p w14:paraId="46007EC9">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九</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争议解决</w:t>
      </w:r>
    </w:p>
    <w:p w14:paraId="68005CAC">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9.1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本协议项下发生的争议，甲乙双方应协商解决，协商不成的，双方可向</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乙方所在地</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人民法院提起诉讼。</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诉讼进行过程中，除双方有争议的部分外，本协议其他部分仍然有效，各方应继续履行。</w:t>
      </w:r>
    </w:p>
    <w:p w14:paraId="00ED1450">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9</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本协议争议解决条款独立存在，本协议的变更、解除、终止或者无效，不影响本条款的效力。</w:t>
      </w:r>
    </w:p>
    <w:p w14:paraId="4B1D4D53">
      <w:pPr>
        <w:pStyle w:val="5"/>
        <w:pageBreakBefore w:val="0"/>
        <w:kinsoku w:val="0"/>
        <w:wordWrap/>
        <w:overflowPunct/>
        <w:topLinePunct w:val="0"/>
        <w:autoSpaceDE w:val="0"/>
        <w:autoSpaceDN w:val="0"/>
        <w:bidi w:val="0"/>
        <w:adjustRightInd w:val="0"/>
        <w:snapToGrid w:val="0"/>
        <w:spacing w:line="282" w:lineRule="atLeast"/>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第十条 通知与送达</w:t>
      </w:r>
    </w:p>
    <w:p w14:paraId="684B35C1">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10.1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上述书面通知发出方应按接收方在本协议中所列的地址发</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Hans" w:bidi="zh-TW"/>
        </w:rPr>
        <w:t>出</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。如双方中任何一方的地址有变更时，须在变更前10日以书面形式通知对方。因迟延通知而造成损失的，由过错方承担责任。</w:t>
      </w:r>
    </w:p>
    <w:p w14:paraId="25B2C9D8">
      <w:pPr>
        <w:pageBreakBefore w:val="0"/>
        <w:kinsoku w:val="0"/>
        <w:wordWrap/>
        <w:overflowPunct/>
        <w:topLinePunct w:val="0"/>
        <w:autoSpaceDE w:val="0"/>
        <w:autoSpaceDN w:val="0"/>
        <w:bidi w:val="0"/>
        <w:adjustRightInd w:val="0"/>
        <w:snapToGrid w:val="0"/>
        <w:spacing w:before="87" w:line="282" w:lineRule="atLeast"/>
        <w:ind w:left="22"/>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第十</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一</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条 协议的生效和终止</w:t>
      </w:r>
    </w:p>
    <w:p w14:paraId="73AC186F">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11.1 本协议有效期【</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3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】年，自</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2025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月</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17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日至</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2028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2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月</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16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日，期限届满后如双方无异议，合同自动续约</w:t>
      </w:r>
      <w:r>
        <w:rPr>
          <w:rFonts w:hint="eastAsia" w:ascii="宋体" w:hAnsi="宋体" w:eastAsia="宋体" w:cs="宋体"/>
          <w:b w:val="0"/>
          <w:snapToGrid/>
          <w:color w:val="000000"/>
          <w:spacing w:val="0"/>
          <w:w w:val="100"/>
          <w:position w:val="0"/>
          <w:sz w:val="19"/>
          <w:szCs w:val="19"/>
          <w:highlight w:val="none"/>
          <w:u w:val="single"/>
          <w:shd w:val="clear" w:color="auto" w:fill="auto"/>
          <w:lang w:val="en-US" w:eastAsia="zh-CN" w:bidi="zh-TW"/>
        </w:rPr>
        <w:t xml:space="preserve">  3  </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年，续约次数不限，若双方或任何一方，欲在本合同期满后终结本合同，应于合同届满前一个月书面通知对方。</w:t>
      </w:r>
    </w:p>
    <w:p w14:paraId="3682D703">
      <w:pPr>
        <w:pageBreakBefore w:val="0"/>
        <w:kinsoku w:val="0"/>
        <w:wordWrap/>
        <w:overflowPunct/>
        <w:topLinePunct w:val="0"/>
        <w:autoSpaceDE w:val="0"/>
        <w:autoSpaceDN w:val="0"/>
        <w:bidi w:val="0"/>
        <w:adjustRightInd w:val="0"/>
        <w:snapToGrid w:val="0"/>
        <w:spacing w:before="160" w:line="282" w:lineRule="atLeas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11.2 甲方选择季度及以上宽带包干套餐的，有效期内不能办理停止使用手续，有效期满且甲方无欠款的情况下可申请办理停止使用手续，有效期满如不办理停止使用手续，则视同甲方按上期标准继续使用宽带业务。</w:t>
      </w:r>
    </w:p>
    <w:p w14:paraId="0C28BF8D">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 xml:space="preserve">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合同终止后</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5日内，甲方应完整交还乙方所属网络设备，乙方核查无损的，全额无息归还甲方已缴押金</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p>
    <w:p w14:paraId="4FD2EC5C">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11.4 </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在合同履行过程中，如甲方发生以下任一情形，乙方有权视情节严重程度采取中止或终止履行合同、解除合同等措施并不承担违约责任。如该情形导致第三方向乙方提出法律或行政程序，甲方应负责解决。如该情形给乙方损失的，甲方应全额赔偿：</w:t>
      </w:r>
    </w:p>
    <w:p w14:paraId="76078491">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(1)</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被行政机关纳入“严重违法失信”名单。</w:t>
      </w:r>
    </w:p>
    <w:p w14:paraId="680F3197">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被人民法院纳入“失信被执行人”名单。</w:t>
      </w:r>
    </w:p>
    <w:p w14:paraId="009351B5">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(3)</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被乙方（含乙方上级单位）纳入违规失信合作商名单。</w:t>
      </w:r>
    </w:p>
    <w:p w14:paraId="5570BA4D">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(4)</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如存在网络和信息安全违法、违规行为的，包括但不限于因网络和信息安全问题承担刑事责任或受到行政处罚，被列入各级公安机关的涉通讯信息诈骗违法犯罪高危自然人或法人名单、电信业务经营不良名单、失信名单等。</w:t>
      </w:r>
    </w:p>
    <w:p w14:paraId="1C9DCD1B">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(5)</w:t>
      </w:r>
      <w:r>
        <w:rPr>
          <w:rFonts w:hint="default" w:ascii="宋体" w:hAnsi="宋体" w:eastAsia="宋体" w:cs="宋体"/>
          <w:b w:val="0"/>
          <w:snapToGrid/>
          <w:color w:val="000000"/>
          <w:spacing w:val="0"/>
          <w:w w:val="100"/>
          <w:position w:val="0"/>
          <w:sz w:val="19"/>
          <w:szCs w:val="19"/>
          <w:highlight w:val="none"/>
          <w:u w:val="none"/>
          <w:shd w:val="clear" w:color="auto" w:fill="auto"/>
          <w:lang w:val="zh-TW" w:eastAsia="zh-TW" w:bidi="zh-TW"/>
        </w:rPr>
        <w:t>其他相关法律法规规定或有权机关认定的违法失信情形，以及可能导致合同履行风险或侵害乙方合法权益或声誉的违规失信情形</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p>
    <w:p w14:paraId="58026901">
      <w:pPr>
        <w:pageBreakBefore w:val="0"/>
        <w:kinsoku w:val="0"/>
        <w:wordWrap/>
        <w:overflowPunct/>
        <w:topLinePunct w:val="0"/>
        <w:autoSpaceDE w:val="0"/>
        <w:autoSpaceDN w:val="0"/>
        <w:bidi w:val="0"/>
        <w:adjustRightInd w:val="0"/>
        <w:snapToGrid w:val="0"/>
        <w:spacing w:before="228" w:line="282" w:lineRule="atLeast"/>
        <w:ind w:left="12"/>
        <w:rPr>
          <w:rFonts w:ascii="宋体" w:hAnsi="宋体" w:eastAsia="宋体" w:cs="宋体"/>
          <w:b/>
          <w:bCs/>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第十</w:t>
      </w:r>
      <w:r>
        <w:rPr>
          <w:rFonts w:hint="eastAsia" w:ascii="宋体" w:hAnsi="宋体" w:eastAsia="宋体" w:cs="宋体"/>
          <w:b/>
          <w:bCs/>
          <w:snapToGrid/>
          <w:color w:val="000000"/>
          <w:spacing w:val="0"/>
          <w:w w:val="100"/>
          <w:position w:val="0"/>
          <w:sz w:val="19"/>
          <w:szCs w:val="19"/>
          <w:highlight w:val="none"/>
          <w:u w:val="none"/>
          <w:shd w:val="clear" w:color="auto" w:fill="auto"/>
          <w:lang w:val="en-US" w:eastAsia="zh-CN" w:bidi="zh-TW"/>
        </w:rPr>
        <w:t>二</w:t>
      </w:r>
      <w:r>
        <w:rPr>
          <w:rFonts w:hint="eastAsia" w:ascii="宋体" w:hAnsi="宋体" w:eastAsia="宋体" w:cs="宋体"/>
          <w:b/>
          <w:bCs/>
          <w:snapToGrid/>
          <w:color w:val="000000"/>
          <w:spacing w:val="0"/>
          <w:w w:val="100"/>
          <w:position w:val="0"/>
          <w:sz w:val="19"/>
          <w:szCs w:val="19"/>
          <w:highlight w:val="none"/>
          <w:u w:val="none"/>
          <w:shd w:val="clear" w:color="auto" w:fill="auto"/>
          <w:lang w:val="zh-TW" w:eastAsia="zh-TW" w:bidi="zh-TW"/>
        </w:rPr>
        <w:t>条 其他</w:t>
      </w:r>
    </w:p>
    <w:p w14:paraId="71CE7A67">
      <w:pPr>
        <w:pageBreakBefore w:val="0"/>
        <w:kinsoku w:val="0"/>
        <w:wordWrap/>
        <w:overflowPunct/>
        <w:topLinePunct w:val="0"/>
        <w:autoSpaceDE w:val="0"/>
        <w:autoSpaceDN w:val="0"/>
        <w:bidi w:val="0"/>
        <w:adjustRightInd w:val="0"/>
        <w:snapToGrid w:val="0"/>
        <w:spacing w:before="160" w:line="282" w:lineRule="atLeast"/>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1</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2</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1 </w:t>
      </w:r>
      <w:r>
        <w:rPr>
          <w:rFonts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未尽事宜，甲乙双方应共同协商解决。本协议附件为本协议的组成部分，与本协议正文具有同等法律效力。如协议附件与协议正文有任何冲突，以协议正文为准。如需对本协议及其附件作任何修改或补充，须由协议双方以书面做出并经双方签署后方为有效。修改或补充文件与本协议有不一致的，以修改或补充文件为准。</w:t>
      </w:r>
    </w:p>
    <w:p w14:paraId="217282C0">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12.2 </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本协议一式贰份，双方各执壹份，具有同等法律效力。本协议</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需经甲乙双方盖章或委托人</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签字</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CN" w:bidi="zh-TW"/>
        </w:rPr>
        <w:t>，</w:t>
      </w: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并于宽带安装完工后</w:t>
      </w:r>
      <w:r>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t>生效。</w:t>
      </w:r>
    </w:p>
    <w:p w14:paraId="40041412">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p>
    <w:p w14:paraId="4AF8AC34">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（以下无正文)</w:t>
      </w:r>
    </w:p>
    <w:p w14:paraId="3B367E27">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p>
    <w:p w14:paraId="7F09C9D0">
      <w:pPr>
        <w:pageBreakBefore w:val="0"/>
        <w:kinsoku w:val="0"/>
        <w:wordWrap/>
        <w:overflowPunct/>
        <w:topLinePunct w:val="0"/>
        <w:autoSpaceDE w:val="0"/>
        <w:autoSpaceDN w:val="0"/>
        <w:bidi w:val="0"/>
        <w:adjustRightInd w:val="0"/>
        <w:snapToGrid w:val="0"/>
        <w:spacing w:before="160" w:line="282" w:lineRule="atLeas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p>
    <w:p w14:paraId="20CBF2CC">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甲方（签名或盖章）：                           乙方（盖章）：</w:t>
      </w:r>
    </w:p>
    <w:p w14:paraId="6272DCE5">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证件号：                                       经办人（签名）：</w:t>
      </w:r>
    </w:p>
    <w:p w14:paraId="4C9226E1">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甲方联系电话：                                 乙方联系电话：</w:t>
      </w:r>
    </w:p>
    <w:p w14:paraId="1F1CAF0C">
      <w:pPr>
        <w:pageBreakBefore w:val="0"/>
        <w:kinsoku w:val="0"/>
        <w:wordWrap/>
        <w:overflowPunct/>
        <w:topLinePunct w:val="0"/>
        <w:autoSpaceDE w:val="0"/>
        <w:autoSpaceDN w:val="0"/>
        <w:bidi w:val="0"/>
        <w:adjustRightInd w:val="0"/>
        <w:snapToGrid w:val="0"/>
        <w:spacing w:before="160" w:line="282" w:lineRule="atLeast"/>
        <w:rPr>
          <w:rFonts w:hint="default" w:ascii="宋体" w:hAnsi="宋体" w:eastAsia="宋体" w:cs="宋体"/>
          <w:b w:val="0"/>
          <w:snapToGrid/>
          <w:color w:val="000000"/>
          <w:spacing w:val="0"/>
          <w:w w:val="100"/>
          <w:position w:val="0"/>
          <w:sz w:val="19"/>
          <w:szCs w:val="19"/>
          <w:highlight w:val="none"/>
          <w:u w:val="none"/>
          <w:shd w:val="clear" w:color="auto" w:fill="auto"/>
          <w:lang w:val="en-US" w:eastAsia="zh-CN"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地址：                                         地址：</w:t>
      </w:r>
    </w:p>
    <w:p w14:paraId="131ECC51">
      <w:pPr>
        <w:pageBreakBefore w:val="0"/>
        <w:kinsoku w:val="0"/>
        <w:wordWrap/>
        <w:overflowPunct/>
        <w:topLinePunct w:val="0"/>
        <w:autoSpaceDE w:val="0"/>
        <w:autoSpaceDN w:val="0"/>
        <w:bidi w:val="0"/>
        <w:adjustRightInd w:val="0"/>
        <w:snapToGrid w:val="0"/>
        <w:spacing w:before="160" w:line="282" w:lineRule="atLeast"/>
        <w:rPr>
          <w:rFonts w:hint="eastAsia" w:ascii="宋体" w:hAnsi="宋体" w:eastAsia="宋体" w:cs="宋体"/>
          <w:b w:val="0"/>
          <w:snapToGrid/>
          <w:color w:val="000000"/>
          <w:spacing w:val="0"/>
          <w:w w:val="100"/>
          <w:position w:val="0"/>
          <w:sz w:val="19"/>
          <w:szCs w:val="19"/>
          <w:highlight w:val="none"/>
          <w:u w:val="none"/>
          <w:shd w:val="clear" w:color="auto" w:fill="auto"/>
          <w:lang w:val="zh-TW" w:eastAsia="zh-TW" w:bidi="zh-TW"/>
        </w:rPr>
      </w:pPr>
      <w:r>
        <w:rPr>
          <w:rFonts w:hint="eastAsia" w:ascii="宋体" w:hAnsi="宋体" w:eastAsia="宋体" w:cs="宋体"/>
          <w:b w:val="0"/>
          <w:snapToGrid/>
          <w:color w:val="000000"/>
          <w:spacing w:val="0"/>
          <w:w w:val="100"/>
          <w:position w:val="0"/>
          <w:sz w:val="19"/>
          <w:szCs w:val="19"/>
          <w:highlight w:val="none"/>
          <w:u w:val="none"/>
          <w:shd w:val="clear" w:color="auto" w:fill="auto"/>
          <w:lang w:val="en-US" w:eastAsia="zh-CN" w:bidi="zh-TW"/>
        </w:rPr>
        <w:t xml:space="preserve">签署日期：   年     月     日              签署日期：   年     月     日     </w:t>
      </w:r>
    </w:p>
    <w:p w14:paraId="6BB33E15">
      <w:pPr>
        <w:pageBreakBefore w:val="0"/>
        <w:wordWrap/>
        <w:overflowPunct/>
        <w:topLinePunct w:val="0"/>
        <w:bidi w:val="0"/>
        <w:spacing w:before="160" w:line="192" w:lineRule="auto"/>
        <w:rPr>
          <w:rFonts w:hint="eastAsia" w:ascii="宋体" w:hAnsi="宋体" w:eastAsia="宋体" w:cs="宋体"/>
          <w:b w:val="0"/>
          <w:snapToGrid/>
          <w:color w:val="000000"/>
          <w:spacing w:val="0"/>
          <w:w w:val="100"/>
          <w:position w:val="0"/>
          <w:sz w:val="19"/>
          <w:szCs w:val="19"/>
          <w:highlight w:val="none"/>
          <w:u w:val="none"/>
          <w:shd w:val="clear" w:color="auto" w:fill="auto"/>
          <w:lang w:val="zh-CN" w:eastAsia="zh-TW" w:bidi="zh-TW"/>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FF84">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D4566">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29D4566">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9227">
    <w:pPr>
      <w:spacing w:before="20" w:line="223" w:lineRule="auto"/>
      <w:ind w:left="229" w:leftChars="109" w:right="20" w:firstLine="284" w:firstLineChars="195"/>
      <w:rPr>
        <w:rFonts w:hint="eastAsia" w:eastAsia="宋体"/>
        <w:sz w:val="17"/>
        <w:szCs w:val="17"/>
        <w:lang w:val="en-US" w:eastAsia="zh-CN"/>
      </w:rPr>
    </w:pPr>
    <w:r>
      <w:rPr>
        <w:rFonts w:hint="eastAsia" w:eastAsia="宋体"/>
        <w:spacing w:val="-12"/>
        <w:sz w:val="17"/>
        <w:szCs w:val="17"/>
      </w:rPr>
      <w:t xml:space="preserve">                                                                           </w:t>
    </w:r>
  </w:p>
  <w:p w14:paraId="07D83E7C">
    <w:pPr>
      <w:pStyle w:val="9"/>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jN2JiM2FmNDFkYjIyNzU5ZDY4OGI1MmUxMzUwNjYifQ=="/>
  </w:docVars>
  <w:rsids>
    <w:rsidRoot w:val="00172A27"/>
    <w:rsid w:val="00007E50"/>
    <w:rsid w:val="0006785E"/>
    <w:rsid w:val="000E2A7D"/>
    <w:rsid w:val="0014759D"/>
    <w:rsid w:val="00172A27"/>
    <w:rsid w:val="001744C2"/>
    <w:rsid w:val="00260404"/>
    <w:rsid w:val="00326D4F"/>
    <w:rsid w:val="003A2683"/>
    <w:rsid w:val="003F5F2A"/>
    <w:rsid w:val="004546D3"/>
    <w:rsid w:val="00492147"/>
    <w:rsid w:val="005524C4"/>
    <w:rsid w:val="005552F7"/>
    <w:rsid w:val="006D0C84"/>
    <w:rsid w:val="00906BD7"/>
    <w:rsid w:val="00923229"/>
    <w:rsid w:val="00960755"/>
    <w:rsid w:val="009D36CE"/>
    <w:rsid w:val="00AB1812"/>
    <w:rsid w:val="00AD7E79"/>
    <w:rsid w:val="00B547EA"/>
    <w:rsid w:val="00B62EA0"/>
    <w:rsid w:val="00BB435D"/>
    <w:rsid w:val="00C16281"/>
    <w:rsid w:val="00DC4052"/>
    <w:rsid w:val="00DD7D41"/>
    <w:rsid w:val="00E0248A"/>
    <w:rsid w:val="00E33600"/>
    <w:rsid w:val="00E35F8C"/>
    <w:rsid w:val="00E5663C"/>
    <w:rsid w:val="00EB7E60"/>
    <w:rsid w:val="00EF3AA2"/>
    <w:rsid w:val="00F56A0C"/>
    <w:rsid w:val="012D0479"/>
    <w:rsid w:val="017C5A94"/>
    <w:rsid w:val="01B110AA"/>
    <w:rsid w:val="01BA61B0"/>
    <w:rsid w:val="02963DFC"/>
    <w:rsid w:val="02CE3596"/>
    <w:rsid w:val="03060F81"/>
    <w:rsid w:val="0328714A"/>
    <w:rsid w:val="032D650E"/>
    <w:rsid w:val="04C958A0"/>
    <w:rsid w:val="04EB48D3"/>
    <w:rsid w:val="05B80BB2"/>
    <w:rsid w:val="062E0F1B"/>
    <w:rsid w:val="066606B5"/>
    <w:rsid w:val="06EB0A9B"/>
    <w:rsid w:val="07022D9E"/>
    <w:rsid w:val="072916E2"/>
    <w:rsid w:val="08875093"/>
    <w:rsid w:val="09137F54"/>
    <w:rsid w:val="09EF451D"/>
    <w:rsid w:val="0A3C257E"/>
    <w:rsid w:val="0A4F76B2"/>
    <w:rsid w:val="0BC419DA"/>
    <w:rsid w:val="0CE151E2"/>
    <w:rsid w:val="0D295F98"/>
    <w:rsid w:val="0D2A1D10"/>
    <w:rsid w:val="0D3641C2"/>
    <w:rsid w:val="0D4903E8"/>
    <w:rsid w:val="0DA27214"/>
    <w:rsid w:val="0DC23032"/>
    <w:rsid w:val="0DCD2DC7"/>
    <w:rsid w:val="0EAC6E81"/>
    <w:rsid w:val="0EB57A4D"/>
    <w:rsid w:val="0F113188"/>
    <w:rsid w:val="0F9F2542"/>
    <w:rsid w:val="101E5B5C"/>
    <w:rsid w:val="101F18D4"/>
    <w:rsid w:val="1023160A"/>
    <w:rsid w:val="10A8296D"/>
    <w:rsid w:val="10AE380C"/>
    <w:rsid w:val="11A13126"/>
    <w:rsid w:val="14972381"/>
    <w:rsid w:val="15A24B3A"/>
    <w:rsid w:val="15BD7316"/>
    <w:rsid w:val="15D1541F"/>
    <w:rsid w:val="161D2412"/>
    <w:rsid w:val="164E4CC1"/>
    <w:rsid w:val="16691404"/>
    <w:rsid w:val="171831E2"/>
    <w:rsid w:val="179901BE"/>
    <w:rsid w:val="17A10E21"/>
    <w:rsid w:val="17B46DA6"/>
    <w:rsid w:val="17FD699F"/>
    <w:rsid w:val="18131D1F"/>
    <w:rsid w:val="18253800"/>
    <w:rsid w:val="194B25F7"/>
    <w:rsid w:val="199E386A"/>
    <w:rsid w:val="19A60971"/>
    <w:rsid w:val="19C77265"/>
    <w:rsid w:val="1A6920CA"/>
    <w:rsid w:val="1A8D3EE8"/>
    <w:rsid w:val="1AC74735"/>
    <w:rsid w:val="1B776A68"/>
    <w:rsid w:val="1BB455C7"/>
    <w:rsid w:val="1C4A1A87"/>
    <w:rsid w:val="1CB6711D"/>
    <w:rsid w:val="1D2F75FB"/>
    <w:rsid w:val="1DB47B00"/>
    <w:rsid w:val="1E0565AE"/>
    <w:rsid w:val="1E6F3A27"/>
    <w:rsid w:val="1EE34802"/>
    <w:rsid w:val="1F9F033C"/>
    <w:rsid w:val="1FA92F69"/>
    <w:rsid w:val="1FA94D17"/>
    <w:rsid w:val="20250841"/>
    <w:rsid w:val="209C35CB"/>
    <w:rsid w:val="20AC0C15"/>
    <w:rsid w:val="213D7E0C"/>
    <w:rsid w:val="214B2529"/>
    <w:rsid w:val="21843D08"/>
    <w:rsid w:val="21F20BF7"/>
    <w:rsid w:val="235A4CA6"/>
    <w:rsid w:val="23810484"/>
    <w:rsid w:val="23F24EDE"/>
    <w:rsid w:val="2412732E"/>
    <w:rsid w:val="26461511"/>
    <w:rsid w:val="271138CD"/>
    <w:rsid w:val="27E014F2"/>
    <w:rsid w:val="27F92ABE"/>
    <w:rsid w:val="292C2C40"/>
    <w:rsid w:val="29581C87"/>
    <w:rsid w:val="299A22A0"/>
    <w:rsid w:val="2A6E79AD"/>
    <w:rsid w:val="2A9B0899"/>
    <w:rsid w:val="2AA47A39"/>
    <w:rsid w:val="2BF13CCD"/>
    <w:rsid w:val="2C9805ED"/>
    <w:rsid w:val="2CC118F2"/>
    <w:rsid w:val="2D1B36F8"/>
    <w:rsid w:val="2D2307FE"/>
    <w:rsid w:val="2D4A7B39"/>
    <w:rsid w:val="2D9D767E"/>
    <w:rsid w:val="2DF81343"/>
    <w:rsid w:val="2DFF6B75"/>
    <w:rsid w:val="2E1B3283"/>
    <w:rsid w:val="2EF835C5"/>
    <w:rsid w:val="2FC736C3"/>
    <w:rsid w:val="2FFF91F7"/>
    <w:rsid w:val="30F85652"/>
    <w:rsid w:val="315C7E3B"/>
    <w:rsid w:val="31B0045A"/>
    <w:rsid w:val="31E57138"/>
    <w:rsid w:val="32065222"/>
    <w:rsid w:val="332F429B"/>
    <w:rsid w:val="3350577D"/>
    <w:rsid w:val="337376BE"/>
    <w:rsid w:val="33D22636"/>
    <w:rsid w:val="33EA3E24"/>
    <w:rsid w:val="3522139B"/>
    <w:rsid w:val="353F1F4D"/>
    <w:rsid w:val="3546508A"/>
    <w:rsid w:val="36745C27"/>
    <w:rsid w:val="36AF4FB7"/>
    <w:rsid w:val="378D51F2"/>
    <w:rsid w:val="37A83DDA"/>
    <w:rsid w:val="37DB39DE"/>
    <w:rsid w:val="3977484B"/>
    <w:rsid w:val="3B0752BB"/>
    <w:rsid w:val="3B2319C9"/>
    <w:rsid w:val="3B6D1A2C"/>
    <w:rsid w:val="3B7F1C4D"/>
    <w:rsid w:val="3BF60F2C"/>
    <w:rsid w:val="3BF9842B"/>
    <w:rsid w:val="3C3F3829"/>
    <w:rsid w:val="3DC3665C"/>
    <w:rsid w:val="3DFC4E7F"/>
    <w:rsid w:val="3E353EED"/>
    <w:rsid w:val="3E810EE1"/>
    <w:rsid w:val="3F7E86C1"/>
    <w:rsid w:val="3FFF1F49"/>
    <w:rsid w:val="402B37FA"/>
    <w:rsid w:val="422E75D1"/>
    <w:rsid w:val="423F17DF"/>
    <w:rsid w:val="449B0318"/>
    <w:rsid w:val="44F85C75"/>
    <w:rsid w:val="463A4797"/>
    <w:rsid w:val="46B01DAB"/>
    <w:rsid w:val="46D36999"/>
    <w:rsid w:val="47264D1B"/>
    <w:rsid w:val="4792415F"/>
    <w:rsid w:val="479C322F"/>
    <w:rsid w:val="47C337F0"/>
    <w:rsid w:val="483D231C"/>
    <w:rsid w:val="495A5150"/>
    <w:rsid w:val="4A376BC0"/>
    <w:rsid w:val="4A987B92"/>
    <w:rsid w:val="4AFEAC6C"/>
    <w:rsid w:val="4B0B04B0"/>
    <w:rsid w:val="4B751DCD"/>
    <w:rsid w:val="4C4D2D4A"/>
    <w:rsid w:val="4CB014BE"/>
    <w:rsid w:val="4D21045F"/>
    <w:rsid w:val="4D8F1F93"/>
    <w:rsid w:val="4DBA61BD"/>
    <w:rsid w:val="4E3C4E24"/>
    <w:rsid w:val="4EC33F0B"/>
    <w:rsid w:val="4EC512BE"/>
    <w:rsid w:val="4EC70B92"/>
    <w:rsid w:val="4FFB7C1B"/>
    <w:rsid w:val="5052526E"/>
    <w:rsid w:val="507459A7"/>
    <w:rsid w:val="52842A3D"/>
    <w:rsid w:val="52B71EE9"/>
    <w:rsid w:val="52BF714B"/>
    <w:rsid w:val="52CD0741"/>
    <w:rsid w:val="5367702B"/>
    <w:rsid w:val="53EE6BC1"/>
    <w:rsid w:val="541C372E"/>
    <w:rsid w:val="54C2028E"/>
    <w:rsid w:val="55872E29"/>
    <w:rsid w:val="55FF3F8B"/>
    <w:rsid w:val="56B654FB"/>
    <w:rsid w:val="56D16811"/>
    <w:rsid w:val="5774425C"/>
    <w:rsid w:val="57EC1669"/>
    <w:rsid w:val="582B63FB"/>
    <w:rsid w:val="5889510A"/>
    <w:rsid w:val="58AC2BA6"/>
    <w:rsid w:val="58E467E4"/>
    <w:rsid w:val="5937711B"/>
    <w:rsid w:val="598F04FE"/>
    <w:rsid w:val="59D36714"/>
    <w:rsid w:val="5A5A6D5E"/>
    <w:rsid w:val="5A8E2EAB"/>
    <w:rsid w:val="5AAC3332"/>
    <w:rsid w:val="5AF2367F"/>
    <w:rsid w:val="5BD8425B"/>
    <w:rsid w:val="5C98591B"/>
    <w:rsid w:val="5D3F8755"/>
    <w:rsid w:val="5DC264F3"/>
    <w:rsid w:val="5E0A2849"/>
    <w:rsid w:val="5EBFF1A8"/>
    <w:rsid w:val="5F4678B1"/>
    <w:rsid w:val="5F8D54E0"/>
    <w:rsid w:val="5FD90725"/>
    <w:rsid w:val="5FE1582B"/>
    <w:rsid w:val="600C564B"/>
    <w:rsid w:val="602816AC"/>
    <w:rsid w:val="60AC408B"/>
    <w:rsid w:val="618172C6"/>
    <w:rsid w:val="63984453"/>
    <w:rsid w:val="63B53257"/>
    <w:rsid w:val="63C96D02"/>
    <w:rsid w:val="646F1658"/>
    <w:rsid w:val="648570CD"/>
    <w:rsid w:val="64B01EFF"/>
    <w:rsid w:val="64C75092"/>
    <w:rsid w:val="64FFDC26"/>
    <w:rsid w:val="65401246"/>
    <w:rsid w:val="656860B9"/>
    <w:rsid w:val="65B732B6"/>
    <w:rsid w:val="65E61A42"/>
    <w:rsid w:val="667E3DD4"/>
    <w:rsid w:val="66D460EA"/>
    <w:rsid w:val="66E3718F"/>
    <w:rsid w:val="67140294"/>
    <w:rsid w:val="67874F0A"/>
    <w:rsid w:val="679B5075"/>
    <w:rsid w:val="68CD2DF1"/>
    <w:rsid w:val="690C7DD2"/>
    <w:rsid w:val="691C3A21"/>
    <w:rsid w:val="69413021"/>
    <w:rsid w:val="69794D27"/>
    <w:rsid w:val="69A04061"/>
    <w:rsid w:val="69CF4947"/>
    <w:rsid w:val="6A37961C"/>
    <w:rsid w:val="6A88588B"/>
    <w:rsid w:val="6A976B6E"/>
    <w:rsid w:val="6C006779"/>
    <w:rsid w:val="6C376EFF"/>
    <w:rsid w:val="6C8D4D71"/>
    <w:rsid w:val="6E05302D"/>
    <w:rsid w:val="6E1D2124"/>
    <w:rsid w:val="6E4476B1"/>
    <w:rsid w:val="6EDF562C"/>
    <w:rsid w:val="6F8D32DA"/>
    <w:rsid w:val="6FA83C70"/>
    <w:rsid w:val="70622071"/>
    <w:rsid w:val="70941D13"/>
    <w:rsid w:val="7097427D"/>
    <w:rsid w:val="70A95EF1"/>
    <w:rsid w:val="70D171F6"/>
    <w:rsid w:val="71B36765"/>
    <w:rsid w:val="729606F7"/>
    <w:rsid w:val="72B648F6"/>
    <w:rsid w:val="72BC63B0"/>
    <w:rsid w:val="736F3422"/>
    <w:rsid w:val="746A5998"/>
    <w:rsid w:val="75CFE7A6"/>
    <w:rsid w:val="760A11E0"/>
    <w:rsid w:val="765B1A3C"/>
    <w:rsid w:val="77163BB5"/>
    <w:rsid w:val="79A92036"/>
    <w:rsid w:val="79F429C9"/>
    <w:rsid w:val="7A044703"/>
    <w:rsid w:val="7ADCDB5F"/>
    <w:rsid w:val="7AE77D42"/>
    <w:rsid w:val="7AF82523"/>
    <w:rsid w:val="7B4412F3"/>
    <w:rsid w:val="7B6751F7"/>
    <w:rsid w:val="7B979E8C"/>
    <w:rsid w:val="7BB265A2"/>
    <w:rsid w:val="7BC71922"/>
    <w:rsid w:val="7BEE88C5"/>
    <w:rsid w:val="7DDD8B22"/>
    <w:rsid w:val="7DF2712A"/>
    <w:rsid w:val="7E5162FA"/>
    <w:rsid w:val="7EAE5F62"/>
    <w:rsid w:val="7FDAF049"/>
    <w:rsid w:val="7FDF87B4"/>
    <w:rsid w:val="7FFE9150"/>
    <w:rsid w:val="95FDCFB9"/>
    <w:rsid w:val="AB7DE132"/>
    <w:rsid w:val="B377940C"/>
    <w:rsid w:val="B77F0335"/>
    <w:rsid w:val="B7FBD326"/>
    <w:rsid w:val="BFFF3426"/>
    <w:rsid w:val="C6771DBD"/>
    <w:rsid w:val="C71E804F"/>
    <w:rsid w:val="CDEAC7F5"/>
    <w:rsid w:val="CEB98D2E"/>
    <w:rsid w:val="D1E76C0D"/>
    <w:rsid w:val="D5BF33BD"/>
    <w:rsid w:val="DFDF7D10"/>
    <w:rsid w:val="EDFF6207"/>
    <w:rsid w:val="F75F84C0"/>
    <w:rsid w:val="F8BF99FA"/>
    <w:rsid w:val="FF385A8D"/>
    <w:rsid w:val="FFC39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after="290" w:line="372" w:lineRule="auto"/>
      <w:outlineLvl w:val="3"/>
    </w:pPr>
    <w:rPr>
      <w:rFonts w:eastAsia="黑体"/>
      <w:b/>
      <w:sz w:val="28"/>
    </w:rPr>
  </w:style>
  <w:style w:type="paragraph" w:styleId="4">
    <w:name w:val="heading 5"/>
    <w:basedOn w:val="1"/>
    <w:next w:val="1"/>
    <w:unhideWhenUsed/>
    <w:qFormat/>
    <w:uiPriority w:val="0"/>
    <w:pPr>
      <w:keepNext/>
      <w:keepLines/>
      <w:spacing w:before="280" w:after="290" w:line="372" w:lineRule="auto"/>
      <w:outlineLvl w:val="4"/>
    </w:pPr>
    <w:rPr>
      <w:b/>
      <w:sz w:val="28"/>
    </w:rPr>
  </w:style>
  <w:style w:type="paragraph" w:styleId="5">
    <w:name w:val="heading 6"/>
    <w:basedOn w:val="1"/>
    <w:next w:val="1"/>
    <w:unhideWhenUsed/>
    <w:qFormat/>
    <w:uiPriority w:val="0"/>
    <w:pPr>
      <w:keepNext/>
      <w:keepLines/>
      <w:spacing w:before="240" w:after="64" w:line="317" w:lineRule="auto"/>
      <w:outlineLvl w:val="5"/>
    </w:pPr>
    <w:rPr>
      <w:rFonts w:eastAsia="黑体"/>
      <w:b/>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link w:val="20"/>
    <w:qFormat/>
    <w:uiPriority w:val="0"/>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unhideWhenUsed/>
    <w:qFormat/>
    <w:uiPriority w:val="99"/>
    <w:pPr>
      <w:widowControl/>
      <w:spacing w:before="100" w:beforeAutospacing="1" w:after="100" w:afterAutospacing="1"/>
      <w:jc w:val="left"/>
    </w:pPr>
    <w:rPr>
      <w:rFonts w:eastAsiaTheme="minorEastAsia"/>
      <w:kern w:val="0"/>
      <w:sz w:val="24"/>
    </w:rPr>
  </w:style>
  <w:style w:type="paragraph" w:styleId="11">
    <w:name w:val="annotation subject"/>
    <w:basedOn w:val="6"/>
    <w:next w:val="6"/>
    <w:link w:val="21"/>
    <w:qFormat/>
    <w:uiPriority w:val="0"/>
    <w:rPr>
      <w:b/>
      <w:bCs/>
    </w:rPr>
  </w:style>
  <w:style w:type="table" w:styleId="13">
    <w:name w:val="Table Grid"/>
    <w:basedOn w:val="12"/>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page number"/>
    <w:basedOn w:val="14"/>
    <w:semiHidden/>
    <w:unhideWhenUsed/>
    <w:qFormat/>
    <w:uiPriority w:val="99"/>
  </w:style>
  <w:style w:type="character" w:styleId="16">
    <w:name w:val="annotation reference"/>
    <w:basedOn w:val="14"/>
    <w:qFormat/>
    <w:uiPriority w:val="0"/>
    <w:rPr>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21"/>
    <w:basedOn w:val="14"/>
    <w:qFormat/>
    <w:uiPriority w:val="0"/>
    <w:rPr>
      <w:rFonts w:hint="eastAsia" w:ascii="宋体" w:hAnsi="宋体" w:eastAsia="宋体" w:cs="宋体"/>
      <w:color w:val="000000"/>
      <w:sz w:val="19"/>
      <w:szCs w:val="19"/>
      <w:u w:val="none"/>
    </w:rPr>
  </w:style>
  <w:style w:type="character" w:customStyle="1" w:styleId="19">
    <w:name w:val="font11"/>
    <w:basedOn w:val="14"/>
    <w:qFormat/>
    <w:uiPriority w:val="0"/>
    <w:rPr>
      <w:rFonts w:hint="eastAsia" w:ascii="宋体" w:hAnsi="宋体" w:eastAsia="宋体" w:cs="宋体"/>
      <w:color w:val="000000"/>
      <w:sz w:val="22"/>
      <w:szCs w:val="22"/>
      <w:u w:val="none"/>
    </w:rPr>
  </w:style>
  <w:style w:type="character" w:customStyle="1" w:styleId="20">
    <w:name w:val="批注文字 Char"/>
    <w:basedOn w:val="14"/>
    <w:link w:val="6"/>
    <w:qFormat/>
    <w:uiPriority w:val="0"/>
    <w:rPr>
      <w:rFonts w:ascii="Arial" w:hAnsi="Arial" w:eastAsia="Arial" w:cs="Arial"/>
      <w:snapToGrid w:val="0"/>
      <w:color w:val="000000"/>
      <w:sz w:val="21"/>
      <w:szCs w:val="21"/>
    </w:rPr>
  </w:style>
  <w:style w:type="character" w:customStyle="1" w:styleId="21">
    <w:name w:val="批注主题 Char"/>
    <w:basedOn w:val="20"/>
    <w:link w:val="11"/>
    <w:qFormat/>
    <w:uiPriority w:val="0"/>
    <w:rPr>
      <w:rFonts w:ascii="Arial" w:hAnsi="Arial" w:eastAsia="Arial" w:cs="Arial"/>
      <w:b/>
      <w:bCs/>
      <w:snapToGrid w:val="0"/>
      <w:color w:val="000000"/>
      <w:sz w:val="21"/>
      <w:szCs w:val="21"/>
    </w:rPr>
  </w:style>
  <w:style w:type="character" w:customStyle="1" w:styleId="22">
    <w:name w:val="批注框文本 Char"/>
    <w:basedOn w:val="14"/>
    <w:link w:val="7"/>
    <w:qFormat/>
    <w:uiPriority w:val="0"/>
    <w:rPr>
      <w:rFonts w:ascii="Arial" w:hAnsi="Arial" w:eastAsia="Arial" w:cs="Arial"/>
      <w:snapToGrid w:val="0"/>
      <w:color w:val="000000"/>
      <w:sz w:val="18"/>
      <w:szCs w:val="18"/>
    </w:rPr>
  </w:style>
  <w:style w:type="paragraph" w:customStyle="1" w:styleId="23">
    <w:name w:val="p"/>
    <w:basedOn w:val="1"/>
    <w:qFormat/>
    <w:uiPriority w:val="0"/>
  </w:style>
  <w:style w:type="paragraph" w:customStyle="1" w:styleId="24">
    <w:name w:val="Body text|1"/>
    <w:basedOn w:val="1"/>
    <w:qFormat/>
    <w:uiPriority w:val="0"/>
    <w:pPr>
      <w:widowControl w:val="0"/>
      <w:shd w:val="clear" w:color="auto" w:fill="auto"/>
      <w:spacing w:line="312" w:lineRule="auto"/>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5046</Words>
  <Characters>5261</Characters>
  <Lines>1</Lines>
  <Paragraphs>1</Paragraphs>
  <TotalTime>17</TotalTime>
  <ScaleCrop>false</ScaleCrop>
  <LinksUpToDate>false</LinksUpToDate>
  <CharactersWithSpaces>5887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2023-09-21T12:54:00Z</dcterms:created>
  <dc:creator>swan song</dc:creator>
  <cp:lastModifiedBy>黄耿城</cp:lastModifiedBy>
  <dcterms:modified xsi:type="dcterms:W3CDTF">2025-02-11T11:30:34Z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3D2A16F1CCE84922A469677A04B8FF54_13</vt:lpwstr>
  </property>
  <property fmtid="{D5CDD505-2E9C-101B-9397-08002B2CF9AE}" pid="4" name="KSOTemplateDocerSaveRecord">
    <vt:lpwstr>eyJoZGlkIjoiYTJiMDk1NzIwZWEwNGJiZTA5ZTk1MGI4YWViZDFhMWYiLCJ1c2VySWQiOiIxNjQ2ODE1NjAyIn0=</vt:lpwstr>
  </property>
</Properties>
</file>